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福州市仓山区民政局2022年度政府购买</w:t>
      </w: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居家养老服务项目绩效评价报告</w:t>
      </w:r>
    </w:p>
    <w:p>
      <w:pPr>
        <w:spacing w:line="360" w:lineRule="auto"/>
        <w:ind w:firstLine="880" w:firstLineChars="200"/>
        <w:rPr>
          <w:rFonts w:hint="eastAsia" w:ascii="方正小标宋简体" w:eastAsia="方正小标宋简体"/>
          <w:sz w:val="44"/>
          <w:szCs w:val="44"/>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宋体" w:hAnsi="宋体" w:eastAsia="宋体"/>
          <w:sz w:val="32"/>
          <w:szCs w:val="32"/>
          <w:u w:val="single"/>
        </w:rPr>
      </w:pPr>
      <w:r>
        <w:rPr>
          <w:rFonts w:hint="eastAsia" w:ascii="宋体" w:hAnsi="宋体" w:eastAsia="宋体"/>
          <w:sz w:val="32"/>
          <w:szCs w:val="32"/>
        </w:rPr>
        <w:t>项目名称： 2022年度政府购买居家养老服务项目</w:t>
      </w:r>
    </w:p>
    <w:p>
      <w:pPr>
        <w:spacing w:line="360" w:lineRule="auto"/>
        <w:ind w:firstLine="640" w:firstLineChars="200"/>
        <w:rPr>
          <w:rFonts w:ascii="宋体" w:hAnsi="宋体" w:eastAsia="宋体"/>
          <w:sz w:val="32"/>
          <w:szCs w:val="32"/>
        </w:rPr>
      </w:pPr>
      <w:r>
        <w:rPr>
          <w:rFonts w:hint="eastAsia" w:ascii="宋体" w:hAnsi="宋体" w:eastAsia="宋体"/>
          <w:sz w:val="32"/>
          <w:szCs w:val="32"/>
        </w:rPr>
        <w:t xml:space="preserve">项目单位：福州市仓山区民政局               </w:t>
      </w:r>
    </w:p>
    <w:p>
      <w:pPr>
        <w:spacing w:line="360" w:lineRule="auto"/>
        <w:ind w:firstLine="640" w:firstLineChars="200"/>
        <w:rPr>
          <w:rFonts w:ascii="宋体" w:hAnsi="宋体" w:eastAsia="宋体"/>
          <w:sz w:val="32"/>
          <w:szCs w:val="32"/>
        </w:rPr>
      </w:pPr>
      <w:r>
        <w:rPr>
          <w:rFonts w:hint="eastAsia" w:ascii="宋体" w:hAnsi="宋体" w:eastAsia="宋体"/>
          <w:sz w:val="32"/>
          <w:szCs w:val="32"/>
        </w:rPr>
        <w:t>委托单位：福州仓山区财政局</w:t>
      </w:r>
    </w:p>
    <w:p>
      <w:pPr>
        <w:spacing w:line="360" w:lineRule="auto"/>
        <w:ind w:firstLine="640" w:firstLineChars="200"/>
        <w:rPr>
          <w:rFonts w:ascii="宋体" w:hAnsi="宋体" w:eastAsia="宋体"/>
          <w:sz w:val="32"/>
          <w:szCs w:val="32"/>
        </w:rPr>
      </w:pPr>
      <w:r>
        <w:rPr>
          <w:rFonts w:hint="eastAsia" w:ascii="宋体" w:hAnsi="宋体" w:eastAsia="宋体"/>
          <w:sz w:val="32"/>
          <w:szCs w:val="32"/>
        </w:rPr>
        <w:t>评价机构：福建金财恒效咨询有限公司</w:t>
      </w:r>
    </w:p>
    <w:p>
      <w:pPr>
        <w:spacing w:line="360" w:lineRule="auto"/>
        <w:ind w:firstLine="640" w:firstLineChars="200"/>
        <w:rPr>
          <w:rFonts w:ascii="宋体" w:hAnsi="宋体" w:eastAsia="宋体"/>
          <w:sz w:val="32"/>
          <w:szCs w:val="32"/>
        </w:rPr>
      </w:pPr>
      <w:r>
        <w:rPr>
          <w:rFonts w:hint="eastAsia" w:ascii="宋体" w:hAnsi="宋体" w:eastAsia="宋体"/>
          <w:sz w:val="32"/>
          <w:szCs w:val="32"/>
        </w:rPr>
        <w:t>评价日期：2023年12月</w:t>
      </w: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2022年度政府购买居家养老服务</w:t>
      </w: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项目绩效评价报告</w:t>
      </w:r>
    </w:p>
    <w:p>
      <w:pPr>
        <w:spacing w:line="360" w:lineRule="auto"/>
        <w:ind w:firstLine="640" w:firstLineChars="200"/>
        <w:rPr>
          <w:rFonts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一、基本情况</w:t>
      </w:r>
    </w:p>
    <w:p>
      <w:pPr>
        <w:ind w:firstLine="640" w:firstLineChars="200"/>
        <w:rPr>
          <w:rFonts w:ascii="楷体" w:hAnsi="楷体" w:eastAsia="楷体"/>
          <w:sz w:val="32"/>
          <w:szCs w:val="32"/>
        </w:rPr>
      </w:pPr>
      <w:r>
        <w:rPr>
          <w:rFonts w:hint="eastAsia" w:ascii="楷体" w:hAnsi="楷体" w:eastAsia="楷体"/>
          <w:sz w:val="32"/>
          <w:szCs w:val="32"/>
        </w:rPr>
        <w:t>（一）项目概况</w:t>
      </w:r>
    </w:p>
    <w:p>
      <w:pPr>
        <w:ind w:firstLine="643" w:firstLineChars="200"/>
        <w:rPr>
          <w:rFonts w:ascii="仿宋_GB2312" w:hAnsi="黑体" w:eastAsia="仿宋_GB2312"/>
          <w:b/>
          <w:sz w:val="32"/>
          <w:szCs w:val="32"/>
        </w:rPr>
      </w:pPr>
      <w:r>
        <w:rPr>
          <w:rFonts w:hint="eastAsia" w:ascii="仿宋_GB2312" w:hAnsi="黑体" w:eastAsia="仿宋_GB2312"/>
          <w:b/>
          <w:sz w:val="32"/>
          <w:szCs w:val="32"/>
        </w:rPr>
        <w:t>1.项目背景</w:t>
      </w:r>
    </w:p>
    <w:p>
      <w:pPr>
        <w:ind w:firstLine="640" w:firstLineChars="200"/>
        <w:rPr>
          <w:rFonts w:ascii="仿宋_GB2312" w:hAnsi="黑体" w:eastAsia="仿宋_GB2312"/>
          <w:sz w:val="32"/>
          <w:szCs w:val="32"/>
        </w:rPr>
      </w:pPr>
      <w:r>
        <w:rPr>
          <w:rFonts w:hint="eastAsia" w:ascii="仿宋_GB2312" w:hAnsi="黑体" w:eastAsia="仿宋_GB2312"/>
          <w:sz w:val="32"/>
          <w:szCs w:val="32"/>
        </w:rPr>
        <w:t xml:space="preserve">伴随着我国老龄化进程加速推进，老年人口的不断增多，《关于加强新时代老龄工作的意见》提出“确保人人享有基本养老服务和公共卫生服务”；《“十四五国家老龄事业发展和养老服务体系规划》对养老服务体系建设做出系统、全面而具体的再部署，党的二十大报告亦提出“增进民生福祉推动实现全体老年人享有基本养老服务”等，推进政府购买养老服务工作成为解决方案直之一。 </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为扎实推进中央居家和社区基本养老服务提升行动项目，激活养老服务市场，仓山区民政局自2018年起开展政府购买养老服务项目。依据仓山区人民政府第2021年第5次常务会议纪要，2022年继续实施购买居家养老服务项目。项目依据《福建省</w:t>
      </w:r>
      <w:r>
        <w:rPr>
          <w:rFonts w:hint="eastAsia" w:ascii="仿宋_GB2312" w:hAnsi="黑体" w:eastAsia="仿宋_GB2312"/>
          <w:sz w:val="32"/>
          <w:szCs w:val="32"/>
          <w:lang w:eastAsia="zh-CN"/>
        </w:rPr>
        <w:t>人</w:t>
      </w:r>
      <w:r>
        <w:rPr>
          <w:rFonts w:hint="eastAsia" w:ascii="仿宋_GB2312" w:hAnsi="黑体" w:eastAsia="仿宋_GB2312"/>
          <w:sz w:val="32"/>
          <w:szCs w:val="32"/>
        </w:rPr>
        <w:t>民政府办公厅关于&lt;加快城乡社区居家养老专业化服务&gt;的通知》（闽政办〔2016〕126号）、《福建省民政厅关于印发&lt;推进城乡社区居家养老专业化服务组织落地实施方案&gt;的通知》（闽民福〔2016〕199号）、《关于加快养老事业发展的实施方案》（榕委发〔2017〕14号）、《关于印发&lt;福州市政府购买居家养老上门服务实施办法&gt;的通知》（榕民〔2021〕271号）等实施。该项目养老服务供应商为山东青鸟软通信息技术股份有限公司、厦门智宇信息技术有限公司、福建微尚生活服务有限公司。</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2.项目主要内容及实施情况</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（1）实施范围</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福州市仓山区仓山镇、盖山镇、城门镇、建新镇、螺洲镇5个镇以及金山街道、仓前街道、东升街道、下渡街道、对湖街道、上渡街道、临江街道、三叉街街道8个街道符合申请居家养老服务条件的老人。</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（2）申报条件和申报程序</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符合申报条件的为以下类型老年人：</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 xml:space="preserve">①分散供养特困人员中的老年人； </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 xml:space="preserve">②低保对象中的老年人； </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 xml:space="preserve">③计划生育特殊家庭中的老年人； </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 xml:space="preserve">④重度残疾人中的老年人； </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 xml:space="preserve">⑤易返贫致贫人口和脱贫不稳定人口中的老年人； </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 xml:space="preserve">⑥重点优抚对象中的老年人； </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⑦80周岁及以上未领取机关企事业单位退休金的老年人。</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申报程序如下：</w:t>
      </w:r>
    </w:p>
    <w:p>
      <w:pPr>
        <w:spacing w:line="360" w:lineRule="auto"/>
        <w:ind w:firstLine="420" w:firstLineChars="200"/>
        <w:rPr>
          <w:rFonts w:ascii="仿宋_GB2312" w:hAnsi="黑体" w:eastAsia="仿宋_GB2312"/>
          <w:sz w:val="32"/>
          <w:szCs w:val="32"/>
        </w:rPr>
      </w:pPr>
      <w:r>
        <w:drawing>
          <wp:inline distT="0" distB="0" distL="0" distR="0">
            <wp:extent cx="5260975" cy="5379720"/>
            <wp:effectExtent l="1905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noChangeArrowheads="1"/>
                    </pic:cNvPicPr>
                  </pic:nvPicPr>
                  <pic:blipFill>
                    <a:blip r:embed="rId4"/>
                    <a:srcRect/>
                    <a:stretch>
                      <a:fillRect/>
                    </a:stretch>
                  </pic:blipFill>
                  <pic:spPr>
                    <a:xfrm>
                      <a:off x="0" y="0"/>
                      <a:ext cx="5260975" cy="5379720"/>
                    </a:xfrm>
                    <a:prstGeom prst="rect">
                      <a:avLst/>
                    </a:prstGeom>
                    <a:noFill/>
                    <a:ln w="9525">
                      <a:noFill/>
                      <a:miter lim="800000"/>
                      <a:headEnd/>
                      <a:tailEnd/>
                    </a:ln>
                  </pic:spPr>
                </pic:pic>
              </a:graphicData>
            </a:graphic>
          </wp:inline>
        </w:drawing>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（3）购买服务标准</w:t>
      </w:r>
    </w:p>
    <w:tbl>
      <w:tblPr>
        <w:tblStyle w:val="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2660" w:type="dxa"/>
            <w:shd w:val="clear" w:color="auto" w:fill="auto"/>
          </w:tcPr>
          <w:p>
            <w:pPr>
              <w:pStyle w:val="5"/>
              <w:spacing w:before="0" w:beforeAutospacing="0" w:after="0" w:afterAutospacing="0" w:line="360" w:lineRule="auto"/>
              <w:jc w:val="center"/>
              <w:rPr>
                <w:b/>
                <w:bCs/>
                <w:kern w:val="2"/>
                <w:sz w:val="28"/>
                <w:szCs w:val="28"/>
              </w:rPr>
            </w:pPr>
            <w:r>
              <w:rPr>
                <w:rFonts w:hint="eastAsia"/>
                <w:b/>
                <w:bCs/>
                <w:kern w:val="2"/>
                <w:sz w:val="28"/>
                <w:szCs w:val="28"/>
              </w:rPr>
              <w:t>项目类型</w:t>
            </w:r>
          </w:p>
        </w:tc>
        <w:tc>
          <w:tcPr>
            <w:tcW w:w="5862" w:type="dxa"/>
            <w:shd w:val="clear" w:color="auto" w:fill="auto"/>
          </w:tcPr>
          <w:p>
            <w:pPr>
              <w:pStyle w:val="5"/>
              <w:spacing w:before="0" w:beforeAutospacing="0" w:after="0" w:afterAutospacing="0" w:line="360" w:lineRule="auto"/>
              <w:ind w:firstLine="1968" w:firstLineChars="700"/>
              <w:rPr>
                <w:b/>
                <w:bCs/>
                <w:kern w:val="2"/>
                <w:sz w:val="28"/>
                <w:szCs w:val="28"/>
              </w:rPr>
            </w:pPr>
            <w:r>
              <w:rPr>
                <w:rFonts w:hint="eastAsia"/>
                <w:b/>
                <w:bCs/>
                <w:kern w:val="2"/>
                <w:sz w:val="28"/>
                <w:szCs w:val="28"/>
              </w:rPr>
              <w:t>补助标准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2660" w:type="dxa"/>
            <w:shd w:val="clear" w:color="auto" w:fill="auto"/>
          </w:tcPr>
          <w:p>
            <w:pPr>
              <w:pStyle w:val="5"/>
              <w:adjustRightInd w:val="0"/>
              <w:snapToGrid w:val="0"/>
              <w:spacing w:before="0" w:beforeAutospacing="0" w:after="0" w:afterAutospacing="0" w:line="360" w:lineRule="auto"/>
              <w:rPr>
                <w:kern w:val="2"/>
                <w:sz w:val="28"/>
                <w:szCs w:val="28"/>
              </w:rPr>
            </w:pPr>
            <w:r>
              <w:rPr>
                <w:rFonts w:hint="eastAsia"/>
                <w:sz w:val="28"/>
                <w:szCs w:val="28"/>
              </w:rPr>
              <w:t>第①-⑥类老年人</w:t>
            </w:r>
          </w:p>
        </w:tc>
        <w:tc>
          <w:tcPr>
            <w:tcW w:w="5862" w:type="dxa"/>
            <w:shd w:val="clear" w:color="auto" w:fill="auto"/>
          </w:tcPr>
          <w:p>
            <w:pPr>
              <w:adjustRightInd w:val="0"/>
              <w:snapToGrid w:val="0"/>
              <w:spacing w:line="360" w:lineRule="auto"/>
              <w:jc w:val="left"/>
              <w:rPr>
                <w:rFonts w:ascii="宋体" w:hAnsi="宋体" w:eastAsia="宋体" w:cs="宋体"/>
                <w:sz w:val="28"/>
                <w:szCs w:val="28"/>
              </w:rPr>
            </w:pPr>
            <w:r>
              <w:rPr>
                <w:rFonts w:hint="eastAsia" w:ascii="宋体" w:hAnsi="宋体" w:eastAsia="宋体" w:cs="宋体"/>
                <w:sz w:val="28"/>
                <w:szCs w:val="28"/>
              </w:rPr>
              <w:t>按每人每月100-400元标准提供紧急救援、巡访关爱和居家养老上门服务。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2660" w:type="dxa"/>
            <w:shd w:val="clear" w:color="auto" w:fill="auto"/>
            <w:vAlign w:val="center"/>
          </w:tcPr>
          <w:p>
            <w:pPr>
              <w:pStyle w:val="5"/>
              <w:adjustRightInd w:val="0"/>
              <w:snapToGrid w:val="0"/>
              <w:spacing w:before="0" w:beforeAutospacing="0" w:after="0" w:afterAutospacing="0" w:line="360" w:lineRule="auto"/>
              <w:rPr>
                <w:kern w:val="2"/>
                <w:sz w:val="28"/>
                <w:szCs w:val="28"/>
              </w:rPr>
            </w:pPr>
            <w:r>
              <w:rPr>
                <w:rFonts w:hint="eastAsia"/>
                <w:sz w:val="28"/>
                <w:szCs w:val="28"/>
              </w:rPr>
              <w:t>第⑦类老年人</w:t>
            </w:r>
          </w:p>
        </w:tc>
        <w:tc>
          <w:tcPr>
            <w:tcW w:w="5862" w:type="dxa"/>
            <w:shd w:val="clear" w:color="auto" w:fill="auto"/>
          </w:tcPr>
          <w:p>
            <w:pPr>
              <w:pStyle w:val="5"/>
              <w:adjustRightInd w:val="0"/>
              <w:snapToGrid w:val="0"/>
              <w:spacing w:before="0" w:beforeAutospacing="0" w:after="0" w:afterAutospacing="0" w:line="360" w:lineRule="auto"/>
              <w:rPr>
                <w:kern w:val="2"/>
                <w:sz w:val="28"/>
                <w:szCs w:val="28"/>
              </w:rPr>
            </w:pPr>
            <w:r>
              <w:rPr>
                <w:rFonts w:hint="eastAsia"/>
                <w:kern w:val="2"/>
                <w:sz w:val="28"/>
                <w:szCs w:val="28"/>
              </w:rPr>
              <w:t>按每人每月不低于30元标准提供紧急救援、巡访关爱和居家养老上门服务。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2660" w:type="dxa"/>
            <w:shd w:val="clear" w:color="auto" w:fill="auto"/>
            <w:vAlign w:val="center"/>
          </w:tcPr>
          <w:p>
            <w:pPr>
              <w:pStyle w:val="5"/>
              <w:adjustRightInd w:val="0"/>
              <w:snapToGrid w:val="0"/>
              <w:spacing w:before="0" w:beforeAutospacing="0" w:after="0" w:afterAutospacing="0" w:line="360" w:lineRule="auto"/>
              <w:rPr>
                <w:sz w:val="28"/>
                <w:szCs w:val="28"/>
              </w:rPr>
            </w:pPr>
            <w:r>
              <w:rPr>
                <w:rFonts w:hint="eastAsia"/>
                <w:sz w:val="28"/>
                <w:szCs w:val="28"/>
              </w:rPr>
              <w:t>第②、③类中完全失能的老年人</w:t>
            </w:r>
          </w:p>
        </w:tc>
        <w:tc>
          <w:tcPr>
            <w:tcW w:w="5862" w:type="dxa"/>
            <w:shd w:val="clear" w:color="auto" w:fill="auto"/>
          </w:tcPr>
          <w:p>
            <w:pPr>
              <w:adjustRightInd w:val="0"/>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按每人每月不低于200元标准提供失能老年人护理服务。</w:t>
            </w:r>
          </w:p>
        </w:tc>
      </w:tr>
    </w:tbl>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3.项目资金投入及使用情况</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福州市仓山区民政局政府购买居家养老服务项目2022年支出预算计划是783.12万元，其中：本年预算783.12万元，本年实际审批297.7万元。</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2022年仓山区民政局政府购买居家养老服务项目应支出297.7万元，本项目购买服务分季度结算，其中：第一、二季度仓山区财政承担资金支出163.47万元，第三、四季度仓山区财政承担资金支出134.23万元。</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（二）项目绩效目标</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1.总体目标</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深入贯彻落实党的“实施积极应对人口老龄化国家战略”，贯彻习近平总书记来闽来榕重要讲话精神，进一步提升仓山区居家养老事业的发展，引导社会力量广泛参与，加快推进社区居家养老专业化服务工作，以期切实提高辖区老年人生活质量。</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2.阶段性目标</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2022年度引进3家养老机构，补助覆盖全部13个街镇，实现单位合同签订合规率80%以上，服务对象满意度达80%以上。</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二、绩效评价工作情况</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（一）绩效评价的指标体系</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绩效评价工作小组根据财政部、福建省、福州市和仓山区财政支出绩效评价管理相关规定的要求，围绕决策、过程、产出和效益四个方面设计绩效评价指标、评分标准和分值。指标体系共设置4个一级指标、13个二级指标、20个三级指标。指标体系设定满分100分，其中：“决策”20分，主要体现项目立项、绩效目标和资金投入情况；“过程”20分，主要体现项目的资金管理和组织实施方面的情况；“产出”30分，主要体现产出数量、产出质量和产出时效情况；“效益”30分，主要体现项目社会效益、经济效益和服务对象满意度等。</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绩效评价结果采取评分和评级相结合的方式。总分设置为100分，等级划分为四档：90（含）-100分为优、80（含）-90分为良、60（含）-80分为中、60分以下为差。</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（二）绩效评价方法</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根据《财政部关于印发&lt;项目支出绩效评价管理办法&gt;的通知》（财预〔2020〕10号）文件要求，结合仓山区民政局政府购买居家养老服务项目的实际情况，具体评价方法如下：</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1.比较法</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通过对仓山区民政局政府购买居家养老服务项目计划目标与实际完成情况及实施前后效果对比，采取定量分析与定性分析相结合的方法，综合分析项目绩效目标的实现程度，依据分析结果进行绩效评价。</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2.公众评判法</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公众评判法指通过专家评估、公众问卷及抽样调查等对财政支出效果进行评判，评价绩效目标实现程度。本项目通过对仓山区13个街镇接受该项目养老服务的老年人随机发放调查问卷，了解服务对象对仓山区政府购买居家养老服务项目实施效果的整体满意情况。</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（三）绩效评价标准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根据《财政部关于印发&lt;项目支出绩效评价管理办法&gt;的通知》（财预〔2020〕10号）文件要求，结合福州市仓山区民政局政府购买居家养老服务项目经费使用情况，此次采用以下绩效评价标准开展工作。</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1.计划标准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指以预先制定的目标、计划、预算、定额等作为评价标准。</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2.行业标准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指参照国家公布的行业指标数据制定的评价标准。</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3.历史标准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指参照历史数据制定的评价标准，为体现绩效改进的原则，在可实现的条件下应当确定相对较高的评价标准。</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4.定量标准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在数据资料及有关统计的基础上，综合运用统计学的方法，按照资料的搜集、数据的整理、统计应用分析三个步骤对标准值进行测定。</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5.定性标准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根据评价指标的概念与内涵，运用一定的评语确定财政资金支出绩效结果，尤其是对难以量化的指标均采用定性描述。</w:t>
      </w:r>
    </w:p>
    <w:p>
      <w:pPr>
        <w:spacing w:line="360" w:lineRule="auto"/>
        <w:ind w:firstLine="640" w:firstLineChars="200"/>
        <w:rPr>
          <w:rFonts w:ascii="楷体" w:hAnsi="楷体" w:eastAsia="楷体"/>
          <w:sz w:val="32"/>
          <w:szCs w:val="32"/>
        </w:rPr>
      </w:pPr>
      <w:r>
        <w:rPr>
          <w:rFonts w:hint="eastAsia" w:ascii="楷体" w:hAnsi="楷体" w:eastAsia="楷体"/>
          <w:sz w:val="32"/>
          <w:szCs w:val="32"/>
        </w:rPr>
        <w:t>（四）绩效评价依据</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1.《中共中央国务院关于全面实施预算绩效管理的意见》(中发〔2018〕 34号)</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2.《福建省委 省政府关于全面实施预算绩效管理的实施意见》（闽委发〔2019〕5号）</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3.《中共福州市委 福州市人民政府关于印发〈全面实施预算绩效管理的方案〉的通知》（榕委发</w:t>
      </w:r>
      <w:r>
        <w:rPr>
          <w:rFonts w:hint="eastAsia" w:ascii="仿宋_GB2312" w:hAnsi="黑体" w:eastAsia="黑体"/>
          <w:sz w:val="32"/>
          <w:szCs w:val="32"/>
        </w:rPr>
        <w:t>﹝</w:t>
      </w:r>
      <w:r>
        <w:rPr>
          <w:rFonts w:hint="eastAsia" w:ascii="仿宋_GB2312" w:hAnsi="黑体" w:eastAsia="仿宋_GB2312"/>
          <w:sz w:val="32"/>
          <w:szCs w:val="32"/>
        </w:rPr>
        <w:t>2019</w:t>
      </w:r>
      <w:r>
        <w:rPr>
          <w:rFonts w:hint="eastAsia" w:ascii="仿宋_GB2312" w:hAnsi="黑体" w:eastAsia="黑体"/>
          <w:sz w:val="32"/>
          <w:szCs w:val="32"/>
        </w:rPr>
        <w:t>﹞</w:t>
      </w:r>
      <w:r>
        <w:rPr>
          <w:rFonts w:hint="eastAsia" w:ascii="仿宋_GB2312" w:hAnsi="黑体" w:eastAsia="仿宋_GB2312"/>
          <w:sz w:val="32"/>
          <w:szCs w:val="32"/>
        </w:rPr>
        <w:t>9号）</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4.《福建省</w:t>
      </w:r>
      <w:r>
        <w:rPr>
          <w:rFonts w:hint="eastAsia" w:ascii="仿宋_GB2312" w:hAnsi="黑体" w:eastAsia="仿宋_GB2312"/>
          <w:sz w:val="32"/>
          <w:szCs w:val="32"/>
          <w:lang w:eastAsia="zh-CN"/>
        </w:rPr>
        <w:t>人</w:t>
      </w:r>
      <w:r>
        <w:rPr>
          <w:rFonts w:hint="eastAsia" w:ascii="仿宋_GB2312" w:hAnsi="黑体" w:eastAsia="仿宋_GB2312"/>
          <w:sz w:val="32"/>
          <w:szCs w:val="32"/>
        </w:rPr>
        <w:t>民政府办公厅关于&lt;加快城乡社区居家养老专业化服务&gt;的通知》（闽政办〔2016〕126号）</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5.《福建省民政厅关于印发&lt;推进城乡社区居家养老专业化服务组织落地实施方案&gt;的通知》（闽民福〔2016〕199号）</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6.《福州市民政局关于印发&lt;福州市政府购买居家养老上门服务实施办法&gt;的通知》（榕民〔2021〕271号）</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7.</w:t>
      </w:r>
      <w:r>
        <w:rPr>
          <w:rFonts w:hint="eastAsia"/>
        </w:rPr>
        <w:t xml:space="preserve"> </w:t>
      </w:r>
      <w:r>
        <w:rPr>
          <w:rFonts w:hint="eastAsia" w:ascii="仿宋_GB2312" w:hAnsi="黑体" w:eastAsia="仿宋_GB2312"/>
          <w:sz w:val="32"/>
          <w:szCs w:val="32"/>
        </w:rPr>
        <w:t>《中共仓山区委 仓山区人民政府关于印发&lt;全面实施预算绩效管理的方案&gt;》</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8.福州市仓山区财政局关于开展2023年预算绩效项目重点评价的通知（仓财检查〔2023〕60号）</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9.福州市仓山区民政局提供的绩效自评报告及相关附件等。</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三、综合评价情况及评价结论</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本次项目绩效评价的可靠性基于仓山区民政局提供佐证材料的全面性和准确性，调研组尽可能地收集更为全面、有效、准确的文件和数据，结合现场勘查、问卷和访谈等调研实际情况尽可能做出可靠的评价结论。依据下表“2022年度仓山区民政局政府购买居家养老服务项目资金绩效评价指标体系”，从项目决策、项目过程、项目产出、项目效益四个方面对此项目进行全面、客观的分析评价。</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本次</w:t>
      </w:r>
      <w:r>
        <w:rPr>
          <w:rFonts w:ascii="仿宋_GB2312" w:hAnsi="黑体" w:eastAsia="仿宋_GB2312"/>
          <w:sz w:val="32"/>
          <w:szCs w:val="32"/>
        </w:rPr>
        <w:t>评</w:t>
      </w:r>
      <w:r>
        <w:rPr>
          <w:rFonts w:hint="eastAsia" w:ascii="仿宋_GB2312" w:hAnsi="黑体" w:eastAsia="仿宋_GB2312"/>
          <w:sz w:val="32"/>
          <w:szCs w:val="32"/>
        </w:rPr>
        <w:t>价</w:t>
      </w:r>
      <w:r>
        <w:rPr>
          <w:rFonts w:ascii="仿宋_GB2312" w:hAnsi="黑体" w:eastAsia="仿宋_GB2312"/>
          <w:sz w:val="32"/>
          <w:szCs w:val="32"/>
        </w:rPr>
        <w:t>结果：</w:t>
      </w:r>
      <w:r>
        <w:rPr>
          <w:rFonts w:hint="eastAsia" w:ascii="仿宋_GB2312" w:hAnsi="黑体" w:eastAsia="仿宋_GB2312"/>
          <w:sz w:val="32"/>
          <w:szCs w:val="32"/>
        </w:rPr>
        <w:t>综合得分为80</w:t>
      </w:r>
      <w:r>
        <w:rPr>
          <w:rFonts w:ascii="仿宋_GB2312" w:hAnsi="黑体" w:eastAsia="仿宋_GB2312"/>
          <w:sz w:val="32"/>
          <w:szCs w:val="32"/>
        </w:rPr>
        <w:t>.5</w:t>
      </w:r>
      <w:r>
        <w:rPr>
          <w:rFonts w:hint="eastAsia" w:ascii="仿宋_GB2312" w:hAnsi="黑体" w:eastAsia="仿宋_GB2312"/>
          <w:sz w:val="32"/>
          <w:szCs w:val="32"/>
        </w:rPr>
        <w:t>分，</w:t>
      </w:r>
      <w:r>
        <w:rPr>
          <w:rFonts w:ascii="仿宋_GB2312" w:hAnsi="黑体" w:eastAsia="仿宋_GB2312"/>
          <w:sz w:val="32"/>
          <w:szCs w:val="32"/>
        </w:rPr>
        <w:t>评价等级为</w:t>
      </w:r>
      <w:r>
        <w:rPr>
          <w:rFonts w:hint="eastAsia" w:ascii="仿宋_GB2312" w:hAnsi="黑体" w:eastAsia="仿宋_GB2312"/>
          <w:sz w:val="32"/>
          <w:szCs w:val="32"/>
        </w:rPr>
        <w:t>“良”。</w:t>
      </w:r>
    </w:p>
    <w:p>
      <w:pPr>
        <w:spacing w:line="360" w:lineRule="auto"/>
        <w:rPr>
          <w:rFonts w:ascii="仿宋_GB2312" w:hAnsi="黑体" w:eastAsia="仿宋_GB2312"/>
          <w:sz w:val="32"/>
          <w:szCs w:val="32"/>
        </w:rPr>
      </w:pPr>
      <w:r>
        <w:rPr>
          <w:rFonts w:hint="eastAsia" w:ascii="仿宋_GB2312" w:hAnsi="黑体" w:eastAsia="仿宋_GB2312"/>
          <w:sz w:val="32"/>
          <w:szCs w:val="32"/>
        </w:rPr>
        <w:t>得分情况如表3-1、3-2：</w:t>
      </w:r>
    </w:p>
    <w:p>
      <w:pPr>
        <w:spacing w:line="360" w:lineRule="auto"/>
        <w:jc w:val="center"/>
        <w:rPr>
          <w:rFonts w:ascii="仿宋_GB2312" w:hAnsi="黑体" w:eastAsia="仿宋_GB2312"/>
          <w:b/>
          <w:sz w:val="32"/>
          <w:szCs w:val="32"/>
        </w:rPr>
      </w:pPr>
      <w:r>
        <w:rPr>
          <w:rFonts w:hint="eastAsia" w:ascii="仿宋_GB2312" w:hAnsi="黑体" w:eastAsia="仿宋_GB2312"/>
          <w:b/>
          <w:sz w:val="32"/>
          <w:szCs w:val="32"/>
        </w:rPr>
        <w:t>表3-1 项目评价得分情况</w:t>
      </w:r>
    </w:p>
    <w:tbl>
      <w:tblPr>
        <w:tblStyle w:val="7"/>
        <w:tblW w:w="78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8"/>
        <w:gridCol w:w="2356"/>
        <w:gridCol w:w="1466"/>
        <w:gridCol w:w="1418"/>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98" w:type="dxa"/>
            <w:shd w:val="clear" w:color="auto" w:fill="auto"/>
          </w:tcPr>
          <w:p>
            <w:pPr>
              <w:spacing w:line="276" w:lineRule="auto"/>
              <w:jc w:val="center"/>
              <w:rPr>
                <w:rFonts w:ascii="宋体" w:hAnsi="宋体"/>
                <w:sz w:val="28"/>
                <w:szCs w:val="28"/>
              </w:rPr>
            </w:pPr>
            <w:r>
              <w:rPr>
                <w:rFonts w:hint="eastAsia" w:ascii="宋体" w:hAnsi="宋体"/>
                <w:sz w:val="28"/>
                <w:szCs w:val="28"/>
              </w:rPr>
              <w:t>序号</w:t>
            </w:r>
          </w:p>
        </w:tc>
        <w:tc>
          <w:tcPr>
            <w:tcW w:w="2356" w:type="dxa"/>
            <w:shd w:val="clear" w:color="auto" w:fill="auto"/>
          </w:tcPr>
          <w:p>
            <w:pPr>
              <w:spacing w:line="276" w:lineRule="auto"/>
              <w:jc w:val="center"/>
              <w:rPr>
                <w:rFonts w:ascii="宋体" w:hAnsi="宋体"/>
                <w:sz w:val="28"/>
                <w:szCs w:val="28"/>
              </w:rPr>
            </w:pPr>
            <w:r>
              <w:rPr>
                <w:rFonts w:hint="eastAsia" w:ascii="宋体" w:hAnsi="宋体"/>
                <w:sz w:val="28"/>
                <w:szCs w:val="28"/>
              </w:rPr>
              <w:t>评价内容</w:t>
            </w:r>
          </w:p>
        </w:tc>
        <w:tc>
          <w:tcPr>
            <w:tcW w:w="1466" w:type="dxa"/>
            <w:shd w:val="clear" w:color="auto" w:fill="auto"/>
          </w:tcPr>
          <w:p>
            <w:pPr>
              <w:spacing w:line="276" w:lineRule="auto"/>
              <w:jc w:val="center"/>
              <w:rPr>
                <w:rFonts w:ascii="宋体" w:hAnsi="宋体"/>
                <w:sz w:val="28"/>
                <w:szCs w:val="28"/>
              </w:rPr>
            </w:pPr>
            <w:r>
              <w:rPr>
                <w:rFonts w:hint="eastAsia" w:ascii="宋体" w:hAnsi="宋体"/>
                <w:sz w:val="28"/>
                <w:szCs w:val="28"/>
              </w:rPr>
              <w:t>分值</w:t>
            </w:r>
          </w:p>
        </w:tc>
        <w:tc>
          <w:tcPr>
            <w:tcW w:w="1418" w:type="dxa"/>
            <w:shd w:val="clear" w:color="auto" w:fill="auto"/>
          </w:tcPr>
          <w:p>
            <w:pPr>
              <w:spacing w:line="276" w:lineRule="auto"/>
              <w:jc w:val="center"/>
              <w:rPr>
                <w:rFonts w:ascii="宋体" w:hAnsi="宋体"/>
                <w:sz w:val="28"/>
                <w:szCs w:val="28"/>
              </w:rPr>
            </w:pPr>
            <w:r>
              <w:rPr>
                <w:rFonts w:hint="eastAsia" w:ascii="宋体" w:hAnsi="宋体"/>
                <w:sz w:val="28"/>
                <w:szCs w:val="28"/>
              </w:rPr>
              <w:t>得分</w:t>
            </w:r>
          </w:p>
        </w:tc>
        <w:tc>
          <w:tcPr>
            <w:tcW w:w="1559" w:type="dxa"/>
            <w:shd w:val="clear" w:color="auto" w:fill="auto"/>
          </w:tcPr>
          <w:p>
            <w:pPr>
              <w:spacing w:line="276" w:lineRule="auto"/>
              <w:jc w:val="center"/>
              <w:rPr>
                <w:rFonts w:ascii="宋体" w:hAnsi="宋体"/>
                <w:sz w:val="28"/>
                <w:szCs w:val="28"/>
              </w:rPr>
            </w:pPr>
            <w:r>
              <w:rPr>
                <w:rFonts w:hint="eastAsia" w:ascii="宋体" w:hAnsi="宋体"/>
                <w:sz w:val="28"/>
                <w:szCs w:val="28"/>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98" w:type="dxa"/>
            <w:shd w:val="clear" w:color="auto" w:fill="auto"/>
          </w:tcPr>
          <w:p>
            <w:pPr>
              <w:spacing w:line="276" w:lineRule="auto"/>
              <w:jc w:val="center"/>
              <w:rPr>
                <w:rFonts w:ascii="宋体" w:hAnsi="宋体"/>
                <w:sz w:val="28"/>
                <w:szCs w:val="28"/>
              </w:rPr>
            </w:pPr>
            <w:r>
              <w:rPr>
                <w:rFonts w:hint="eastAsia" w:ascii="宋体" w:hAnsi="宋体"/>
                <w:sz w:val="28"/>
                <w:szCs w:val="28"/>
              </w:rPr>
              <w:t>1</w:t>
            </w:r>
          </w:p>
        </w:tc>
        <w:tc>
          <w:tcPr>
            <w:tcW w:w="2356" w:type="dxa"/>
            <w:shd w:val="clear" w:color="auto" w:fill="auto"/>
          </w:tcPr>
          <w:p>
            <w:pPr>
              <w:spacing w:line="276" w:lineRule="auto"/>
              <w:jc w:val="center"/>
              <w:rPr>
                <w:rFonts w:ascii="宋体" w:hAnsi="宋体"/>
                <w:sz w:val="28"/>
                <w:szCs w:val="28"/>
              </w:rPr>
            </w:pPr>
            <w:r>
              <w:rPr>
                <w:rFonts w:hint="eastAsia" w:ascii="宋体" w:hAnsi="宋体"/>
                <w:sz w:val="28"/>
                <w:szCs w:val="28"/>
              </w:rPr>
              <w:t>项目决策情况</w:t>
            </w:r>
          </w:p>
        </w:tc>
        <w:tc>
          <w:tcPr>
            <w:tcW w:w="1466" w:type="dxa"/>
            <w:shd w:val="clear" w:color="auto" w:fill="auto"/>
          </w:tcPr>
          <w:p>
            <w:pPr>
              <w:spacing w:line="276" w:lineRule="auto"/>
              <w:jc w:val="center"/>
              <w:rPr>
                <w:rFonts w:ascii="宋体" w:hAnsi="宋体"/>
                <w:sz w:val="28"/>
                <w:szCs w:val="28"/>
              </w:rPr>
            </w:pPr>
            <w:r>
              <w:rPr>
                <w:rFonts w:ascii="宋体" w:hAnsi="宋体"/>
                <w:sz w:val="28"/>
                <w:szCs w:val="28"/>
              </w:rPr>
              <w:t>20</w:t>
            </w:r>
          </w:p>
        </w:tc>
        <w:tc>
          <w:tcPr>
            <w:tcW w:w="1418" w:type="dxa"/>
            <w:shd w:val="clear" w:color="auto" w:fill="auto"/>
          </w:tcPr>
          <w:p>
            <w:pPr>
              <w:spacing w:line="276" w:lineRule="auto"/>
              <w:jc w:val="center"/>
              <w:rPr>
                <w:rFonts w:ascii="宋体" w:hAnsi="宋体"/>
                <w:sz w:val="28"/>
                <w:szCs w:val="28"/>
              </w:rPr>
            </w:pPr>
            <w:r>
              <w:rPr>
                <w:rFonts w:hint="eastAsia" w:ascii="宋体" w:hAnsi="宋体"/>
                <w:sz w:val="28"/>
                <w:szCs w:val="28"/>
              </w:rPr>
              <w:t>11</w:t>
            </w:r>
          </w:p>
        </w:tc>
        <w:tc>
          <w:tcPr>
            <w:tcW w:w="1559" w:type="dxa"/>
            <w:shd w:val="clear" w:color="auto" w:fill="auto"/>
          </w:tcPr>
          <w:p>
            <w:pPr>
              <w:spacing w:line="276" w:lineRule="auto"/>
              <w:jc w:val="center"/>
              <w:rPr>
                <w:rFonts w:ascii="宋体" w:hAnsi="宋体"/>
                <w:sz w:val="28"/>
                <w:szCs w:val="28"/>
              </w:rPr>
            </w:pPr>
            <w:r>
              <w:rPr>
                <w:rFonts w:hint="eastAsia" w:ascii="宋体" w:hAnsi="宋体"/>
                <w:sz w:val="28"/>
                <w:szCs w:val="28"/>
              </w:rPr>
              <w:t>55</w:t>
            </w:r>
            <w:r>
              <w:rPr>
                <w:rFonts w:ascii="宋体" w:hAnsi="宋体"/>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98" w:type="dxa"/>
            <w:shd w:val="clear" w:color="auto" w:fill="auto"/>
          </w:tcPr>
          <w:p>
            <w:pPr>
              <w:spacing w:line="276" w:lineRule="auto"/>
              <w:jc w:val="center"/>
              <w:rPr>
                <w:rFonts w:ascii="宋体" w:hAnsi="宋体"/>
                <w:sz w:val="28"/>
                <w:szCs w:val="28"/>
              </w:rPr>
            </w:pPr>
            <w:r>
              <w:rPr>
                <w:rFonts w:hint="eastAsia" w:ascii="宋体" w:hAnsi="宋体"/>
                <w:sz w:val="28"/>
                <w:szCs w:val="28"/>
              </w:rPr>
              <w:t>2</w:t>
            </w:r>
          </w:p>
        </w:tc>
        <w:tc>
          <w:tcPr>
            <w:tcW w:w="2356" w:type="dxa"/>
            <w:shd w:val="clear" w:color="auto" w:fill="auto"/>
          </w:tcPr>
          <w:p>
            <w:pPr>
              <w:spacing w:line="276" w:lineRule="auto"/>
              <w:jc w:val="center"/>
              <w:rPr>
                <w:rFonts w:ascii="宋体" w:hAnsi="宋体"/>
                <w:sz w:val="28"/>
                <w:szCs w:val="28"/>
              </w:rPr>
            </w:pPr>
            <w:r>
              <w:rPr>
                <w:rFonts w:hint="eastAsia" w:ascii="宋体" w:hAnsi="宋体"/>
                <w:sz w:val="28"/>
                <w:szCs w:val="28"/>
              </w:rPr>
              <w:t>项目过程情况</w:t>
            </w:r>
          </w:p>
        </w:tc>
        <w:tc>
          <w:tcPr>
            <w:tcW w:w="1466" w:type="dxa"/>
            <w:shd w:val="clear" w:color="auto" w:fill="auto"/>
          </w:tcPr>
          <w:p>
            <w:pPr>
              <w:spacing w:line="276" w:lineRule="auto"/>
              <w:jc w:val="center"/>
              <w:rPr>
                <w:rFonts w:ascii="宋体" w:hAnsi="宋体"/>
                <w:sz w:val="28"/>
                <w:szCs w:val="28"/>
              </w:rPr>
            </w:pPr>
            <w:r>
              <w:rPr>
                <w:rFonts w:ascii="宋体" w:hAnsi="宋体"/>
                <w:sz w:val="28"/>
                <w:szCs w:val="28"/>
              </w:rPr>
              <w:t>20</w:t>
            </w:r>
          </w:p>
        </w:tc>
        <w:tc>
          <w:tcPr>
            <w:tcW w:w="1418" w:type="dxa"/>
            <w:shd w:val="clear" w:color="auto" w:fill="auto"/>
          </w:tcPr>
          <w:p>
            <w:pPr>
              <w:spacing w:line="276" w:lineRule="auto"/>
              <w:rPr>
                <w:rFonts w:ascii="宋体" w:hAnsi="宋体"/>
                <w:sz w:val="28"/>
                <w:szCs w:val="28"/>
              </w:rPr>
            </w:pPr>
            <w:r>
              <w:rPr>
                <w:rFonts w:ascii="宋体" w:hAnsi="宋体"/>
                <w:sz w:val="28"/>
                <w:szCs w:val="28"/>
              </w:rPr>
              <w:t xml:space="preserve">   1</w:t>
            </w:r>
            <w:r>
              <w:rPr>
                <w:rFonts w:hint="eastAsia" w:ascii="宋体" w:hAnsi="宋体"/>
                <w:sz w:val="28"/>
                <w:szCs w:val="28"/>
              </w:rPr>
              <w:t>3</w:t>
            </w:r>
          </w:p>
        </w:tc>
        <w:tc>
          <w:tcPr>
            <w:tcW w:w="1559" w:type="dxa"/>
            <w:shd w:val="clear" w:color="auto" w:fill="auto"/>
          </w:tcPr>
          <w:p>
            <w:pPr>
              <w:spacing w:line="276" w:lineRule="auto"/>
              <w:jc w:val="center"/>
              <w:rPr>
                <w:rFonts w:ascii="宋体" w:hAnsi="宋体"/>
                <w:sz w:val="28"/>
                <w:szCs w:val="28"/>
              </w:rPr>
            </w:pPr>
            <w:r>
              <w:rPr>
                <w:rFonts w:hint="eastAsia" w:ascii="宋体" w:hAnsi="宋体"/>
                <w:sz w:val="28"/>
                <w:szCs w:val="28"/>
              </w:rPr>
              <w:t>65</w:t>
            </w:r>
            <w:r>
              <w:rPr>
                <w:rFonts w:ascii="宋体" w:hAnsi="宋体"/>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98" w:type="dxa"/>
            <w:shd w:val="clear" w:color="auto" w:fill="auto"/>
          </w:tcPr>
          <w:p>
            <w:pPr>
              <w:spacing w:line="276" w:lineRule="auto"/>
              <w:jc w:val="center"/>
              <w:rPr>
                <w:rFonts w:ascii="宋体" w:hAnsi="宋体"/>
                <w:sz w:val="28"/>
                <w:szCs w:val="28"/>
              </w:rPr>
            </w:pPr>
            <w:r>
              <w:rPr>
                <w:rFonts w:hint="eastAsia" w:ascii="宋体" w:hAnsi="宋体"/>
                <w:sz w:val="28"/>
                <w:szCs w:val="28"/>
              </w:rPr>
              <w:t>3</w:t>
            </w:r>
          </w:p>
        </w:tc>
        <w:tc>
          <w:tcPr>
            <w:tcW w:w="2356" w:type="dxa"/>
            <w:shd w:val="clear" w:color="auto" w:fill="auto"/>
          </w:tcPr>
          <w:p>
            <w:pPr>
              <w:spacing w:line="276" w:lineRule="auto"/>
              <w:jc w:val="center"/>
              <w:rPr>
                <w:rFonts w:ascii="宋体" w:hAnsi="宋体"/>
                <w:sz w:val="28"/>
                <w:szCs w:val="28"/>
              </w:rPr>
            </w:pPr>
            <w:r>
              <w:rPr>
                <w:rFonts w:hint="eastAsia" w:ascii="宋体" w:hAnsi="宋体"/>
                <w:sz w:val="28"/>
                <w:szCs w:val="28"/>
              </w:rPr>
              <w:t>项目产出情况</w:t>
            </w:r>
          </w:p>
        </w:tc>
        <w:tc>
          <w:tcPr>
            <w:tcW w:w="1466" w:type="dxa"/>
            <w:shd w:val="clear" w:color="auto" w:fill="auto"/>
          </w:tcPr>
          <w:p>
            <w:pPr>
              <w:spacing w:line="276" w:lineRule="auto"/>
              <w:jc w:val="center"/>
              <w:rPr>
                <w:rFonts w:ascii="宋体" w:hAnsi="宋体"/>
                <w:sz w:val="28"/>
                <w:szCs w:val="28"/>
              </w:rPr>
            </w:pPr>
            <w:r>
              <w:rPr>
                <w:rFonts w:ascii="宋体" w:hAnsi="宋体"/>
                <w:sz w:val="28"/>
                <w:szCs w:val="28"/>
              </w:rPr>
              <w:t>30</w:t>
            </w:r>
          </w:p>
        </w:tc>
        <w:tc>
          <w:tcPr>
            <w:tcW w:w="1418" w:type="dxa"/>
            <w:shd w:val="clear" w:color="auto" w:fill="auto"/>
          </w:tcPr>
          <w:p>
            <w:pPr>
              <w:spacing w:line="276" w:lineRule="auto"/>
              <w:jc w:val="center"/>
              <w:rPr>
                <w:rFonts w:ascii="宋体" w:hAnsi="宋体"/>
                <w:sz w:val="28"/>
                <w:szCs w:val="28"/>
              </w:rPr>
            </w:pPr>
            <w:r>
              <w:rPr>
                <w:rFonts w:hint="eastAsia" w:ascii="宋体" w:hAnsi="宋体"/>
                <w:sz w:val="28"/>
                <w:szCs w:val="28"/>
              </w:rPr>
              <w:t>30</w:t>
            </w:r>
          </w:p>
        </w:tc>
        <w:tc>
          <w:tcPr>
            <w:tcW w:w="1559" w:type="dxa"/>
            <w:shd w:val="clear" w:color="auto" w:fill="auto"/>
          </w:tcPr>
          <w:p>
            <w:pPr>
              <w:spacing w:line="276" w:lineRule="auto"/>
              <w:jc w:val="center"/>
              <w:rPr>
                <w:rFonts w:ascii="宋体" w:hAnsi="宋体"/>
                <w:sz w:val="28"/>
                <w:szCs w:val="28"/>
              </w:rPr>
            </w:pPr>
            <w:r>
              <w:rPr>
                <w:rFonts w:hint="eastAsia" w:ascii="宋体" w:hAnsi="宋体"/>
                <w:sz w:val="28"/>
                <w:szCs w:val="28"/>
              </w:rPr>
              <w:t>100</w:t>
            </w:r>
            <w:r>
              <w:rPr>
                <w:rFonts w:ascii="宋体" w:hAnsi="宋体"/>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98" w:type="dxa"/>
            <w:shd w:val="clear" w:color="auto" w:fill="auto"/>
          </w:tcPr>
          <w:p>
            <w:pPr>
              <w:spacing w:line="276" w:lineRule="auto"/>
              <w:jc w:val="center"/>
              <w:rPr>
                <w:rFonts w:ascii="宋体" w:hAnsi="宋体"/>
                <w:sz w:val="28"/>
                <w:szCs w:val="28"/>
              </w:rPr>
            </w:pPr>
            <w:r>
              <w:rPr>
                <w:rFonts w:hint="eastAsia" w:ascii="宋体" w:hAnsi="宋体"/>
                <w:sz w:val="28"/>
                <w:szCs w:val="28"/>
              </w:rPr>
              <w:t>4</w:t>
            </w:r>
          </w:p>
        </w:tc>
        <w:tc>
          <w:tcPr>
            <w:tcW w:w="2356" w:type="dxa"/>
            <w:shd w:val="clear" w:color="auto" w:fill="auto"/>
          </w:tcPr>
          <w:p>
            <w:pPr>
              <w:spacing w:line="276" w:lineRule="auto"/>
              <w:jc w:val="center"/>
              <w:rPr>
                <w:rFonts w:ascii="宋体" w:hAnsi="宋体"/>
                <w:sz w:val="28"/>
                <w:szCs w:val="28"/>
              </w:rPr>
            </w:pPr>
            <w:r>
              <w:rPr>
                <w:rFonts w:hint="eastAsia" w:ascii="宋体" w:hAnsi="宋体"/>
                <w:sz w:val="28"/>
                <w:szCs w:val="28"/>
              </w:rPr>
              <w:t>项目效益情况</w:t>
            </w:r>
          </w:p>
        </w:tc>
        <w:tc>
          <w:tcPr>
            <w:tcW w:w="1466" w:type="dxa"/>
            <w:shd w:val="clear" w:color="auto" w:fill="auto"/>
          </w:tcPr>
          <w:p>
            <w:pPr>
              <w:spacing w:line="276" w:lineRule="auto"/>
              <w:jc w:val="center"/>
              <w:rPr>
                <w:rFonts w:ascii="宋体" w:hAnsi="宋体"/>
                <w:sz w:val="28"/>
                <w:szCs w:val="28"/>
              </w:rPr>
            </w:pPr>
            <w:r>
              <w:rPr>
                <w:rFonts w:ascii="宋体" w:hAnsi="宋体"/>
                <w:sz w:val="28"/>
                <w:szCs w:val="28"/>
              </w:rPr>
              <w:t>30</w:t>
            </w:r>
          </w:p>
        </w:tc>
        <w:tc>
          <w:tcPr>
            <w:tcW w:w="1418" w:type="dxa"/>
            <w:shd w:val="clear" w:color="auto" w:fill="auto"/>
          </w:tcPr>
          <w:p>
            <w:pPr>
              <w:spacing w:line="276" w:lineRule="auto"/>
              <w:jc w:val="center"/>
              <w:rPr>
                <w:rFonts w:ascii="宋体" w:hAnsi="宋体"/>
                <w:sz w:val="28"/>
                <w:szCs w:val="28"/>
              </w:rPr>
            </w:pPr>
            <w:r>
              <w:rPr>
                <w:rFonts w:ascii="宋体" w:hAnsi="宋体"/>
                <w:sz w:val="28"/>
                <w:szCs w:val="28"/>
              </w:rPr>
              <w:t>2</w:t>
            </w:r>
            <w:r>
              <w:rPr>
                <w:rFonts w:hint="eastAsia" w:ascii="宋体" w:hAnsi="宋体"/>
                <w:sz w:val="28"/>
                <w:szCs w:val="28"/>
              </w:rPr>
              <w:t>8</w:t>
            </w:r>
            <w:r>
              <w:rPr>
                <w:rFonts w:ascii="宋体" w:hAnsi="宋体"/>
                <w:sz w:val="28"/>
                <w:szCs w:val="28"/>
              </w:rPr>
              <w:t>.5</w:t>
            </w:r>
          </w:p>
        </w:tc>
        <w:tc>
          <w:tcPr>
            <w:tcW w:w="1559" w:type="dxa"/>
            <w:shd w:val="clear" w:color="auto" w:fill="auto"/>
          </w:tcPr>
          <w:p>
            <w:pPr>
              <w:spacing w:line="276" w:lineRule="auto"/>
              <w:jc w:val="center"/>
              <w:rPr>
                <w:rFonts w:ascii="宋体" w:hAnsi="宋体"/>
                <w:sz w:val="28"/>
                <w:szCs w:val="28"/>
              </w:rPr>
            </w:pPr>
            <w:r>
              <w:rPr>
                <w:rFonts w:hint="eastAsia" w:ascii="宋体" w:hAnsi="宋体"/>
                <w:sz w:val="28"/>
                <w:szCs w:val="28"/>
              </w:rPr>
              <w:t>95</w:t>
            </w:r>
            <w:r>
              <w:rPr>
                <w:rFonts w:ascii="宋体" w:hAnsi="宋体"/>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54" w:type="dxa"/>
            <w:gridSpan w:val="2"/>
            <w:shd w:val="clear" w:color="auto" w:fill="auto"/>
          </w:tcPr>
          <w:p>
            <w:pPr>
              <w:spacing w:line="276" w:lineRule="auto"/>
              <w:jc w:val="center"/>
              <w:rPr>
                <w:rFonts w:ascii="宋体" w:hAnsi="宋体"/>
                <w:sz w:val="28"/>
                <w:szCs w:val="28"/>
              </w:rPr>
            </w:pPr>
            <w:r>
              <w:rPr>
                <w:rFonts w:hint="eastAsia" w:ascii="宋体" w:hAnsi="宋体"/>
                <w:sz w:val="28"/>
                <w:szCs w:val="28"/>
              </w:rPr>
              <w:t>合计</w:t>
            </w:r>
          </w:p>
        </w:tc>
        <w:tc>
          <w:tcPr>
            <w:tcW w:w="1466" w:type="dxa"/>
            <w:shd w:val="clear" w:color="auto" w:fill="auto"/>
          </w:tcPr>
          <w:p>
            <w:pPr>
              <w:spacing w:line="276" w:lineRule="auto"/>
              <w:jc w:val="center"/>
              <w:rPr>
                <w:rFonts w:ascii="宋体" w:hAnsi="宋体"/>
                <w:sz w:val="28"/>
                <w:szCs w:val="28"/>
              </w:rPr>
            </w:pPr>
            <w:r>
              <w:rPr>
                <w:rFonts w:hint="eastAsia" w:ascii="宋体" w:hAnsi="宋体"/>
                <w:sz w:val="28"/>
                <w:szCs w:val="28"/>
              </w:rPr>
              <w:t>100</w:t>
            </w:r>
          </w:p>
        </w:tc>
        <w:tc>
          <w:tcPr>
            <w:tcW w:w="1418" w:type="dxa"/>
            <w:shd w:val="clear" w:color="auto" w:fill="auto"/>
          </w:tcPr>
          <w:p>
            <w:pPr>
              <w:spacing w:line="276" w:lineRule="auto"/>
              <w:jc w:val="center"/>
              <w:rPr>
                <w:rFonts w:ascii="宋体" w:hAnsi="宋体"/>
                <w:sz w:val="28"/>
                <w:szCs w:val="28"/>
              </w:rPr>
            </w:pPr>
            <w:r>
              <w:rPr>
                <w:rFonts w:hint="eastAsia" w:ascii="宋体" w:hAnsi="宋体"/>
                <w:sz w:val="28"/>
                <w:szCs w:val="28"/>
              </w:rPr>
              <w:t>82</w:t>
            </w:r>
            <w:r>
              <w:rPr>
                <w:rFonts w:ascii="宋体" w:hAnsi="宋体"/>
                <w:sz w:val="28"/>
                <w:szCs w:val="28"/>
              </w:rPr>
              <w:t>.5</w:t>
            </w:r>
          </w:p>
        </w:tc>
        <w:tc>
          <w:tcPr>
            <w:tcW w:w="1559" w:type="dxa"/>
            <w:shd w:val="clear" w:color="auto" w:fill="auto"/>
          </w:tcPr>
          <w:p>
            <w:pPr>
              <w:spacing w:line="276" w:lineRule="auto"/>
              <w:jc w:val="center"/>
              <w:rPr>
                <w:rFonts w:ascii="宋体" w:hAnsi="宋体"/>
                <w:sz w:val="28"/>
                <w:szCs w:val="28"/>
              </w:rPr>
            </w:pPr>
            <w:r>
              <w:rPr>
                <w:rFonts w:hint="eastAsia" w:ascii="宋体" w:hAnsi="宋体"/>
                <w:sz w:val="28"/>
                <w:szCs w:val="28"/>
              </w:rPr>
              <w:t>82.5</w:t>
            </w:r>
            <w:r>
              <w:rPr>
                <w:rFonts w:ascii="宋体" w:hAnsi="宋体"/>
                <w:sz w:val="28"/>
                <w:szCs w:val="28"/>
              </w:rPr>
              <w:t>%</w:t>
            </w:r>
          </w:p>
        </w:tc>
      </w:tr>
    </w:tbl>
    <w:p>
      <w:pPr/>
    </w:p>
    <w:p>
      <w:pPr>
        <w:spacing w:line="360" w:lineRule="auto"/>
        <w:jc w:val="center"/>
        <w:rPr>
          <w:rFonts w:ascii="仿宋_GB2312" w:hAnsi="黑体" w:eastAsia="仿宋_GB2312"/>
          <w:b/>
          <w:sz w:val="32"/>
          <w:szCs w:val="32"/>
        </w:rPr>
      </w:pPr>
      <w:r>
        <w:rPr>
          <w:rFonts w:hint="eastAsia" w:ascii="仿宋_GB2312" w:hAnsi="黑体" w:eastAsia="仿宋_GB2312"/>
          <w:b/>
          <w:sz w:val="32"/>
          <w:szCs w:val="32"/>
        </w:rPr>
        <w:t>表3-2</w:t>
      </w:r>
      <w:r>
        <w:rPr>
          <w:rFonts w:ascii="仿宋_GB2312" w:hAnsi="黑体" w:eastAsia="仿宋_GB2312"/>
          <w:b/>
          <w:sz w:val="32"/>
          <w:szCs w:val="32"/>
        </w:rPr>
        <w:t xml:space="preserve"> </w:t>
      </w:r>
      <w:r>
        <w:rPr>
          <w:rFonts w:hint="eastAsia" w:ascii="仿宋_GB2312" w:hAnsi="黑体" w:eastAsia="仿宋_GB2312"/>
          <w:b/>
          <w:sz w:val="32"/>
          <w:szCs w:val="32"/>
        </w:rPr>
        <w:t xml:space="preserve"> 2022年度仓山区民政局政府购买居家养老服务项目绩效评价指标体系及得分</w:t>
      </w:r>
    </w:p>
    <w:p>
      <w:pPr>
        <w:spacing w:line="360" w:lineRule="auto"/>
        <w:jc w:val="center"/>
        <w:rPr>
          <w:rFonts w:ascii="仿宋_GB2312" w:hAnsi="黑体" w:eastAsia="仿宋_GB2312"/>
          <w:b/>
          <w:sz w:val="32"/>
          <w:szCs w:val="32"/>
        </w:rPr>
      </w:pPr>
    </w:p>
    <w:tbl>
      <w:tblPr>
        <w:tblStyle w:val="7"/>
        <w:tblW w:w="9067" w:type="dxa"/>
        <w:jc w:val="center"/>
        <w:tblInd w:w="0" w:type="dxa"/>
        <w:tblLayout w:type="fixed"/>
        <w:tblCellMar>
          <w:top w:w="0" w:type="dxa"/>
          <w:left w:w="108" w:type="dxa"/>
          <w:bottom w:w="0" w:type="dxa"/>
          <w:right w:w="108" w:type="dxa"/>
        </w:tblCellMar>
      </w:tblPr>
      <w:tblGrid>
        <w:gridCol w:w="970"/>
        <w:gridCol w:w="984"/>
        <w:gridCol w:w="969"/>
        <w:gridCol w:w="5189"/>
        <w:gridCol w:w="955"/>
      </w:tblGrid>
      <w:tr>
        <w:tblPrEx>
          <w:tblLayout w:type="fixed"/>
          <w:tblCellMar>
            <w:top w:w="0" w:type="dxa"/>
            <w:left w:w="108" w:type="dxa"/>
            <w:bottom w:w="0" w:type="dxa"/>
            <w:right w:w="108" w:type="dxa"/>
          </w:tblCellMar>
        </w:tblPrEx>
        <w:trPr>
          <w:trHeight w:val="360" w:hRule="atLeast"/>
          <w:jc w:val="center"/>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一级指标</w:t>
            </w:r>
          </w:p>
        </w:tc>
        <w:tc>
          <w:tcPr>
            <w:tcW w:w="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二级指标</w:t>
            </w:r>
          </w:p>
        </w:tc>
        <w:tc>
          <w:tcPr>
            <w:tcW w:w="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三级指标</w:t>
            </w:r>
          </w:p>
        </w:tc>
        <w:tc>
          <w:tcPr>
            <w:tcW w:w="51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评分标准</w:t>
            </w:r>
          </w:p>
        </w:tc>
        <w:tc>
          <w:tcPr>
            <w:tcW w:w="9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得分</w:t>
            </w:r>
          </w:p>
        </w:tc>
      </w:tr>
      <w:tr>
        <w:tblPrEx>
          <w:tblLayout w:type="fixed"/>
          <w:tblCellMar>
            <w:top w:w="0" w:type="dxa"/>
            <w:left w:w="108" w:type="dxa"/>
            <w:bottom w:w="0" w:type="dxa"/>
            <w:right w:w="108" w:type="dxa"/>
          </w:tblCellMar>
        </w:tblPrEx>
        <w:trPr>
          <w:trHeight w:val="1710" w:hRule="atLeast"/>
          <w:jc w:val="center"/>
        </w:trPr>
        <w:tc>
          <w:tcPr>
            <w:tcW w:w="9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决策（20分）　</w:t>
            </w:r>
          </w:p>
        </w:tc>
        <w:tc>
          <w:tcPr>
            <w:tcW w:w="9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项目立项（8分）　</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立项依据充分性（5分）</w:t>
            </w:r>
          </w:p>
        </w:tc>
        <w:tc>
          <w:tcPr>
            <w:tcW w:w="5189" w:type="dxa"/>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评价要点：衡量立项是否符合以下几点</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①项目立项符合国家法律法规、国民经济发展规划和相关政策.</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②项目立项是否符合行业发展规划和政策要求；</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③项目立项是否与部门职责范围相符，属于部门履职所需；</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④项目是否属于公共财政支持范围，是否</w:t>
            </w:r>
            <w:bookmarkStart w:id="0" w:name="_Hlk154590317"/>
            <w:r>
              <w:rPr>
                <w:rFonts w:hint="eastAsia" w:ascii="宋体" w:hAnsi="宋体" w:eastAsia="宋体" w:cs="宋体"/>
                <w:kern w:val="0"/>
                <w:sz w:val="28"/>
                <w:szCs w:val="28"/>
              </w:rPr>
              <w:t>符合中央、地方事权支出责任划分原则</w:t>
            </w:r>
            <w:bookmarkEnd w:id="0"/>
            <w:r>
              <w:rPr>
                <w:rFonts w:hint="eastAsia" w:ascii="宋体" w:hAnsi="宋体" w:eastAsia="宋体" w:cs="宋体"/>
                <w:kern w:val="0"/>
                <w:sz w:val="28"/>
                <w:szCs w:val="28"/>
              </w:rPr>
              <w:t>；</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⑤项目是否与相关部门同类项目或部门内部相关项目重复。</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一项不符扣1分，扣完为止。</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r>
      <w:tr>
        <w:tblPrEx>
          <w:tblLayout w:type="fixed"/>
          <w:tblCellMar>
            <w:top w:w="0" w:type="dxa"/>
            <w:left w:w="108" w:type="dxa"/>
            <w:bottom w:w="0" w:type="dxa"/>
            <w:right w:w="108" w:type="dxa"/>
          </w:tblCellMar>
        </w:tblPrEx>
        <w:trPr>
          <w:trHeight w:val="841"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69"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立项程序规范性（3分）</w:t>
            </w:r>
          </w:p>
        </w:tc>
        <w:tc>
          <w:tcPr>
            <w:tcW w:w="5189"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评价要点：</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①项目按照规定的程序申请设立，得1分；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②审批文件、材料符合相关要求，得1分；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③事前已经过必要的可行性研究、专家论证、风险评估、绩效评估、集体决策，得1分。</w:t>
            </w:r>
          </w:p>
        </w:tc>
        <w:tc>
          <w:tcPr>
            <w:tcW w:w="955" w:type="dxa"/>
            <w:tcBorders>
              <w:top w:val="nil"/>
              <w:left w:val="nil"/>
              <w:bottom w:val="nil"/>
              <w:right w:val="single" w:color="auto" w:sz="4" w:space="0"/>
            </w:tcBorders>
            <w:vAlign w:val="center"/>
          </w:tcPr>
          <w:p>
            <w:pPr>
              <w:widowControl/>
              <w:jc w:val="center"/>
              <w:rPr>
                <w:rFonts w:ascii="宋体" w:hAnsi="宋体" w:eastAsia="宋体" w:cs="宋体"/>
                <w:kern w:val="0"/>
                <w:sz w:val="28"/>
                <w:szCs w:val="28"/>
              </w:rPr>
            </w:pPr>
            <w:r>
              <w:rPr>
                <w:rFonts w:ascii="宋体" w:hAnsi="宋体" w:eastAsia="宋体" w:cs="宋体"/>
                <w:kern w:val="0"/>
                <w:sz w:val="28"/>
                <w:szCs w:val="28"/>
              </w:rPr>
              <w:t>3</w:t>
            </w:r>
          </w:p>
        </w:tc>
      </w:tr>
      <w:tr>
        <w:tblPrEx>
          <w:tblLayout w:type="fixed"/>
          <w:tblCellMar>
            <w:top w:w="0" w:type="dxa"/>
            <w:left w:w="108" w:type="dxa"/>
            <w:bottom w:w="0" w:type="dxa"/>
            <w:right w:w="108" w:type="dxa"/>
          </w:tblCellMar>
        </w:tblPrEx>
        <w:trPr>
          <w:trHeight w:val="1222"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绩效目标（6分）　</w:t>
            </w:r>
          </w:p>
        </w:tc>
        <w:tc>
          <w:tcPr>
            <w:tcW w:w="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绩效目标合理性（3分）</w:t>
            </w:r>
          </w:p>
        </w:tc>
        <w:tc>
          <w:tcPr>
            <w:tcW w:w="518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评价要点：</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①项目绩效目标与实际工作内容具有相关性，得1分；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②项目预期产出效益和效果符合正常的业绩水平，得1分；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③</w:t>
            </w:r>
            <w:bookmarkStart w:id="1" w:name="_Hlk154589875"/>
            <w:r>
              <w:rPr>
                <w:rFonts w:hint="eastAsia" w:ascii="宋体" w:hAnsi="宋体" w:eastAsia="宋体" w:cs="宋体"/>
                <w:kern w:val="0"/>
                <w:sz w:val="28"/>
                <w:szCs w:val="28"/>
              </w:rPr>
              <w:t>与预算确定的项目投资额或资金量相匹配</w:t>
            </w:r>
            <w:bookmarkEnd w:id="1"/>
            <w:r>
              <w:rPr>
                <w:rFonts w:hint="eastAsia" w:ascii="宋体" w:hAnsi="宋体" w:eastAsia="宋体" w:cs="宋体"/>
                <w:kern w:val="0"/>
                <w:sz w:val="28"/>
                <w:szCs w:val="28"/>
              </w:rPr>
              <w:t>，得1分。</w:t>
            </w:r>
          </w:p>
        </w:tc>
        <w:tc>
          <w:tcPr>
            <w:tcW w:w="9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r>
      <w:tr>
        <w:tblPrEx>
          <w:tblLayout w:type="fixed"/>
          <w:tblCellMar>
            <w:top w:w="0" w:type="dxa"/>
            <w:left w:w="108" w:type="dxa"/>
            <w:bottom w:w="0" w:type="dxa"/>
            <w:right w:w="108" w:type="dxa"/>
          </w:tblCellMar>
        </w:tblPrEx>
        <w:trPr>
          <w:trHeight w:val="1072"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绩效指标明确性（3分）</w:t>
            </w:r>
          </w:p>
        </w:tc>
        <w:tc>
          <w:tcPr>
            <w:tcW w:w="518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8"/>
                <w:szCs w:val="28"/>
              </w:rPr>
            </w:pPr>
            <w:r>
              <w:rPr>
                <w:rFonts w:hint="eastAsia" w:ascii="宋体" w:hAnsi="宋体" w:eastAsia="宋体" w:cs="宋体"/>
                <w:kern w:val="0"/>
                <w:sz w:val="28"/>
                <w:szCs w:val="28"/>
              </w:rPr>
              <w:t>评价要点：</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①将项目绩效目标细化分解为具体的绩效指标，得1分；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②项目通过清晰、可衡量的指标值予以体现，得1分；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③与项目目标任务数或计划数相对应，得1分。</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r>
      <w:tr>
        <w:tblPrEx>
          <w:tblLayout w:type="fixed"/>
          <w:tblCellMar>
            <w:top w:w="0" w:type="dxa"/>
            <w:left w:w="108" w:type="dxa"/>
            <w:bottom w:w="0" w:type="dxa"/>
            <w:right w:w="108" w:type="dxa"/>
          </w:tblCellMar>
        </w:tblPrEx>
        <w:trPr>
          <w:trHeight w:val="1230"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资金投入（6分）</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预算编制科学性（4分）</w:t>
            </w:r>
          </w:p>
        </w:tc>
        <w:tc>
          <w:tcPr>
            <w:tcW w:w="518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8"/>
                <w:szCs w:val="28"/>
              </w:rPr>
            </w:pPr>
            <w:r>
              <w:rPr>
                <w:rFonts w:hint="eastAsia" w:ascii="宋体" w:hAnsi="宋体" w:eastAsia="宋体" w:cs="宋体"/>
                <w:kern w:val="0"/>
                <w:sz w:val="28"/>
                <w:szCs w:val="28"/>
              </w:rPr>
              <w:t>评价要点：</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①预算编制经过科学论证，得1分；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②预算内容与项目内容匹配，得1分；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③预算额度测算依据充分，按照标准编制，得1分；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④预算确定的项目投资额或资金量与工作任务相匹配，得1分。</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0</w:t>
            </w:r>
          </w:p>
        </w:tc>
      </w:tr>
      <w:tr>
        <w:tblPrEx>
          <w:tblLayout w:type="fixed"/>
          <w:tblCellMar>
            <w:top w:w="0" w:type="dxa"/>
            <w:left w:w="108" w:type="dxa"/>
            <w:bottom w:w="0" w:type="dxa"/>
            <w:right w:w="108" w:type="dxa"/>
          </w:tblCellMar>
        </w:tblPrEx>
        <w:trPr>
          <w:trHeight w:val="1020"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预算资金分配合理性（2分）</w:t>
            </w:r>
          </w:p>
        </w:tc>
        <w:tc>
          <w:tcPr>
            <w:tcW w:w="518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8"/>
                <w:szCs w:val="28"/>
              </w:rPr>
            </w:pPr>
            <w:r>
              <w:rPr>
                <w:rFonts w:hint="eastAsia" w:ascii="宋体" w:hAnsi="宋体" w:eastAsia="宋体" w:cs="宋体"/>
                <w:kern w:val="0"/>
                <w:sz w:val="28"/>
                <w:szCs w:val="28"/>
              </w:rPr>
              <w:t>评价要点：</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①资金分配依据充分，得1分；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②资金分配额度合理，与项目单位或地方实际相适应，得1分。</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0</w:t>
            </w:r>
          </w:p>
        </w:tc>
      </w:tr>
      <w:tr>
        <w:tblPrEx>
          <w:tblLayout w:type="fixed"/>
          <w:tblCellMar>
            <w:top w:w="0" w:type="dxa"/>
            <w:left w:w="108" w:type="dxa"/>
            <w:bottom w:w="0" w:type="dxa"/>
            <w:right w:w="108" w:type="dxa"/>
          </w:tblCellMar>
        </w:tblPrEx>
        <w:trPr>
          <w:trHeight w:val="416" w:hRule="atLeast"/>
          <w:jc w:val="center"/>
        </w:trPr>
        <w:tc>
          <w:tcPr>
            <w:tcW w:w="9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过程（20分）</w:t>
            </w:r>
          </w:p>
        </w:tc>
        <w:tc>
          <w:tcPr>
            <w:tcW w:w="9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资金管理（10分）</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资金到位率（3分）</w:t>
            </w:r>
          </w:p>
        </w:tc>
        <w:tc>
          <w:tcPr>
            <w:tcW w:w="518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8"/>
                <w:szCs w:val="28"/>
              </w:rPr>
            </w:pPr>
            <w:r>
              <w:rPr>
                <w:rFonts w:hint="eastAsia" w:ascii="宋体" w:hAnsi="宋体" w:eastAsia="宋体" w:cs="宋体"/>
                <w:kern w:val="0"/>
                <w:sz w:val="28"/>
                <w:szCs w:val="28"/>
              </w:rPr>
              <w:t>资金到位率=（实际到位资金/预算资金）×100%。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①90%≤资金到位率≤100%的,得3分；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②80%≤资金到位率&lt;90%的,得2分；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③70≤资金到位率&lt;80%，得1分；</w:t>
            </w:r>
          </w:p>
          <w:p>
            <w:pPr>
              <w:widowControl/>
              <w:rPr>
                <w:rFonts w:ascii="宋体" w:hAnsi="宋体" w:eastAsia="宋体" w:cs="宋体"/>
                <w:kern w:val="0"/>
                <w:sz w:val="28"/>
                <w:szCs w:val="28"/>
              </w:rPr>
            </w:pPr>
            <w:r>
              <w:rPr>
                <w:rFonts w:hint="eastAsia" w:ascii="宋体" w:hAnsi="宋体" w:eastAsia="宋体" w:cs="宋体"/>
                <w:kern w:val="0"/>
                <w:sz w:val="28"/>
                <w:szCs w:val="28"/>
              </w:rPr>
              <w:t>④资金到位率&lt;70%，得0分。</w:t>
            </w:r>
          </w:p>
          <w:p>
            <w:pPr>
              <w:pStyle w:val="2"/>
              <w:rPr>
                <w:rFonts w:ascii="宋体" w:hAnsi="宋体"/>
                <w:sz w:val="28"/>
                <w:szCs w:val="28"/>
              </w:rPr>
            </w:pP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0</w:t>
            </w:r>
          </w:p>
        </w:tc>
      </w:tr>
      <w:tr>
        <w:tblPrEx>
          <w:tblLayout w:type="fixed"/>
          <w:tblCellMar>
            <w:top w:w="0" w:type="dxa"/>
            <w:left w:w="108" w:type="dxa"/>
            <w:bottom w:w="0" w:type="dxa"/>
            <w:right w:w="108" w:type="dxa"/>
          </w:tblCellMar>
        </w:tblPrEx>
        <w:trPr>
          <w:trHeight w:val="1245"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8"/>
                <w:szCs w:val="28"/>
              </w:rPr>
            </w:pP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预算执行率（3分）</w:t>
            </w:r>
          </w:p>
        </w:tc>
        <w:tc>
          <w:tcPr>
            <w:tcW w:w="518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8"/>
                <w:szCs w:val="28"/>
              </w:rPr>
            </w:pPr>
            <w:r>
              <w:rPr>
                <w:rFonts w:hint="eastAsia" w:ascii="宋体" w:hAnsi="宋体" w:eastAsia="宋体" w:cs="宋体"/>
                <w:kern w:val="0"/>
                <w:sz w:val="28"/>
                <w:szCs w:val="28"/>
              </w:rPr>
              <w:t>预算执行率=（实际支出资金/实际到位资金）×100%。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①90%≤资金到位率≤100%的,得3分；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②80%≤资金到位率&lt;90%的,得2分；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③70≤资金到位率&lt;80%，得1分；</w:t>
            </w:r>
          </w:p>
          <w:p>
            <w:pPr>
              <w:widowControl/>
              <w:rPr>
                <w:rFonts w:ascii="宋体" w:hAnsi="宋体" w:eastAsia="宋体" w:cs="宋体"/>
                <w:kern w:val="0"/>
                <w:sz w:val="28"/>
                <w:szCs w:val="28"/>
              </w:rPr>
            </w:pPr>
            <w:r>
              <w:rPr>
                <w:rFonts w:hint="eastAsia" w:ascii="宋体" w:hAnsi="宋体" w:eastAsia="宋体" w:cs="宋体"/>
                <w:kern w:val="0"/>
                <w:sz w:val="28"/>
                <w:szCs w:val="28"/>
              </w:rPr>
              <w:t>④资金到位率&lt;70%，得0分。</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0</w:t>
            </w:r>
          </w:p>
        </w:tc>
      </w:tr>
      <w:tr>
        <w:tblPrEx>
          <w:tblLayout w:type="fixed"/>
          <w:tblCellMar>
            <w:top w:w="0" w:type="dxa"/>
            <w:left w:w="108" w:type="dxa"/>
            <w:bottom w:w="0" w:type="dxa"/>
            <w:right w:w="108" w:type="dxa"/>
          </w:tblCellMar>
        </w:tblPrEx>
        <w:trPr>
          <w:trHeight w:val="1522"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8"/>
                <w:szCs w:val="28"/>
              </w:rPr>
            </w:pP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资金使用合规性（4分）</w:t>
            </w:r>
          </w:p>
        </w:tc>
        <w:tc>
          <w:tcPr>
            <w:tcW w:w="518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8"/>
                <w:szCs w:val="28"/>
              </w:rPr>
            </w:pPr>
            <w:r>
              <w:rPr>
                <w:rFonts w:hint="eastAsia" w:ascii="宋体" w:hAnsi="宋体" w:eastAsia="宋体" w:cs="宋体"/>
                <w:kern w:val="0"/>
                <w:sz w:val="28"/>
                <w:szCs w:val="28"/>
              </w:rPr>
              <w:t>评价要点：</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①符合国家财经法规和财务管理制度以及有关专项资金管理办法的规定，得1分；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②资金的拨付有完整的审批程序和手续，得1分；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③符合项目预算批复或合同规定的用途，得1分；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④不存在截留、挤占、挪用、虚列支出等情况，得1分。</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r>
      <w:tr>
        <w:tblPrEx>
          <w:tblLayout w:type="fixed"/>
          <w:tblCellMar>
            <w:top w:w="0" w:type="dxa"/>
            <w:left w:w="108" w:type="dxa"/>
            <w:bottom w:w="0" w:type="dxa"/>
            <w:right w:w="108" w:type="dxa"/>
          </w:tblCellMar>
        </w:tblPrEx>
        <w:trPr>
          <w:trHeight w:val="1710"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84"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组织实施（10分）</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管理制度健全性（5分）</w:t>
            </w:r>
          </w:p>
        </w:tc>
        <w:tc>
          <w:tcPr>
            <w:tcW w:w="518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8"/>
                <w:szCs w:val="28"/>
              </w:rPr>
            </w:pPr>
            <w:r>
              <w:rPr>
                <w:rFonts w:hint="eastAsia" w:ascii="宋体" w:hAnsi="宋体" w:eastAsia="宋体" w:cs="宋体"/>
                <w:kern w:val="0"/>
                <w:sz w:val="28"/>
                <w:szCs w:val="28"/>
              </w:rPr>
              <w:t>评价要点：</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①制定或具有相应的财务制度；</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②财务制度合法、合规、完整；</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③制定或具有相应的业务管理制度；</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④业务管理制度合法、合规、完整。</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一项不符扣1分，扣完为止。</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r>
      <w:tr>
        <w:tblPrEx>
          <w:tblLayout w:type="fixed"/>
          <w:tblCellMar>
            <w:top w:w="0" w:type="dxa"/>
            <w:left w:w="108" w:type="dxa"/>
            <w:bottom w:w="0" w:type="dxa"/>
            <w:right w:w="108" w:type="dxa"/>
          </w:tblCellMar>
        </w:tblPrEx>
        <w:trPr>
          <w:trHeight w:val="1410"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8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8"/>
                <w:szCs w:val="28"/>
              </w:rPr>
            </w:pP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制度执行有效性（5分）</w:t>
            </w:r>
          </w:p>
        </w:tc>
        <w:tc>
          <w:tcPr>
            <w:tcW w:w="518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8"/>
                <w:szCs w:val="28"/>
              </w:rPr>
            </w:pPr>
            <w:r>
              <w:rPr>
                <w:rFonts w:hint="eastAsia" w:ascii="宋体" w:hAnsi="宋体" w:eastAsia="宋体" w:cs="宋体"/>
                <w:kern w:val="0"/>
                <w:sz w:val="28"/>
                <w:szCs w:val="28"/>
              </w:rPr>
              <w:t>评价要点：</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①项目遵守相关法律法规和相关管理规定；</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②项目调整及支出调整手续完备；</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③项目合同书等资料齐全并及时归档；</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④项目实施的人员条件、场地设备、信息支撑等落实到位。</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一项不符扣1分，扣完为止。</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w:t>
            </w:r>
          </w:p>
        </w:tc>
      </w:tr>
      <w:tr>
        <w:tblPrEx>
          <w:tblLayout w:type="fixed"/>
          <w:tblCellMar>
            <w:top w:w="0" w:type="dxa"/>
            <w:left w:w="108" w:type="dxa"/>
            <w:bottom w:w="0" w:type="dxa"/>
            <w:right w:w="108" w:type="dxa"/>
          </w:tblCellMar>
        </w:tblPrEx>
        <w:trPr>
          <w:trHeight w:val="1132" w:hRule="atLeast"/>
          <w:jc w:val="center"/>
        </w:trPr>
        <w:tc>
          <w:tcPr>
            <w:tcW w:w="9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产出（30分）</w:t>
            </w:r>
          </w:p>
        </w:tc>
        <w:tc>
          <w:tcPr>
            <w:tcW w:w="984"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产出数量（10分）</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bookmarkStart w:id="2" w:name="_Hlk154599183"/>
            <w:r>
              <w:rPr>
                <w:rFonts w:hint="eastAsia" w:ascii="宋体" w:hAnsi="宋体" w:eastAsia="宋体" w:cs="宋体"/>
                <w:kern w:val="0"/>
                <w:sz w:val="28"/>
                <w:szCs w:val="28"/>
              </w:rPr>
              <w:t>补助街镇数</w:t>
            </w:r>
            <w:bookmarkEnd w:id="2"/>
            <w:r>
              <w:rPr>
                <w:rFonts w:hint="eastAsia" w:ascii="宋体" w:hAnsi="宋体" w:eastAsia="宋体" w:cs="宋体"/>
                <w:kern w:val="0"/>
                <w:sz w:val="28"/>
                <w:szCs w:val="28"/>
              </w:rPr>
              <w:t>（10分）</w:t>
            </w:r>
          </w:p>
        </w:tc>
        <w:tc>
          <w:tcPr>
            <w:tcW w:w="5189" w:type="dxa"/>
            <w:tcBorders>
              <w:top w:val="nil"/>
              <w:left w:val="nil"/>
              <w:bottom w:val="single" w:color="auto" w:sz="4" w:space="0"/>
              <w:right w:val="single" w:color="auto" w:sz="4" w:space="0"/>
            </w:tcBorders>
            <w:shd w:val="clear" w:color="auto" w:fill="auto"/>
            <w:vAlign w:val="center"/>
          </w:tcPr>
          <w:p>
            <w:pPr>
              <w:pStyle w:val="2"/>
              <w:adjustRightInd w:val="0"/>
              <w:snapToGrid w:val="0"/>
              <w:spacing w:before="0" w:after="0"/>
              <w:rPr>
                <w:rFonts w:ascii="宋体" w:hAnsi="宋体" w:cs="宋体"/>
                <w:b w:val="0"/>
                <w:bCs w:val="0"/>
                <w:kern w:val="0"/>
                <w:sz w:val="28"/>
                <w:szCs w:val="28"/>
              </w:rPr>
            </w:pPr>
            <w:r>
              <w:rPr>
                <w:rFonts w:hint="eastAsia" w:ascii="宋体" w:hAnsi="宋体" w:cs="宋体"/>
                <w:b w:val="0"/>
                <w:bCs w:val="0"/>
                <w:kern w:val="0"/>
                <w:sz w:val="28"/>
                <w:szCs w:val="28"/>
              </w:rPr>
              <w:t>评价要点：</w:t>
            </w:r>
          </w:p>
          <w:p>
            <w:pPr>
              <w:pStyle w:val="2"/>
              <w:adjustRightInd w:val="0"/>
              <w:snapToGrid w:val="0"/>
              <w:spacing w:before="0" w:after="0"/>
              <w:rPr>
                <w:rFonts w:ascii="宋体" w:hAnsi="宋体" w:cs="宋体"/>
                <w:b w:val="0"/>
                <w:bCs w:val="0"/>
                <w:kern w:val="0"/>
                <w:sz w:val="28"/>
                <w:szCs w:val="28"/>
              </w:rPr>
            </w:pPr>
            <w:r>
              <w:rPr>
                <w:rFonts w:hint="eastAsia" w:ascii="宋体" w:hAnsi="宋体" w:cs="宋体"/>
                <w:b w:val="0"/>
                <w:bCs w:val="0"/>
                <w:kern w:val="0"/>
                <w:sz w:val="28"/>
                <w:szCs w:val="28"/>
              </w:rPr>
              <w:t>衡量项目补助的街镇数量。</w:t>
            </w:r>
          </w:p>
          <w:p>
            <w:pPr>
              <w:pStyle w:val="2"/>
              <w:adjustRightInd w:val="0"/>
              <w:snapToGrid w:val="0"/>
              <w:spacing w:before="0" w:after="0"/>
              <w:rPr>
                <w:rFonts w:ascii="宋体" w:hAnsi="宋体" w:cs="宋体"/>
                <w:b w:val="0"/>
                <w:bCs w:val="0"/>
                <w:kern w:val="0"/>
                <w:sz w:val="28"/>
                <w:szCs w:val="28"/>
              </w:rPr>
            </w:pPr>
            <w:r>
              <w:rPr>
                <w:rFonts w:hint="eastAsia" w:ascii="宋体" w:hAnsi="宋体" w:cs="宋体"/>
                <w:b w:val="0"/>
                <w:bCs w:val="0"/>
                <w:kern w:val="0"/>
                <w:sz w:val="28"/>
                <w:szCs w:val="28"/>
              </w:rPr>
              <w:t>达到绩效目标得满分；</w:t>
            </w:r>
          </w:p>
          <w:p>
            <w:pPr>
              <w:pStyle w:val="2"/>
              <w:adjustRightInd w:val="0"/>
              <w:snapToGrid w:val="0"/>
              <w:spacing w:before="0" w:after="0"/>
              <w:jc w:val="left"/>
              <w:rPr>
                <w:rFonts w:ascii="宋体" w:hAnsi="宋体" w:cs="宋体"/>
                <w:b w:val="0"/>
                <w:bCs w:val="0"/>
                <w:kern w:val="0"/>
                <w:sz w:val="28"/>
                <w:szCs w:val="28"/>
              </w:rPr>
            </w:pPr>
            <w:r>
              <w:rPr>
                <w:rFonts w:hint="eastAsia" w:ascii="宋体" w:hAnsi="宋体" w:cs="宋体"/>
                <w:b w:val="0"/>
                <w:bCs w:val="0"/>
                <w:kern w:val="0"/>
                <w:sz w:val="28"/>
                <w:szCs w:val="28"/>
              </w:rPr>
              <w:t>未达目标，得分=实际补助街镇数/计划补助街镇×100%×指标分值。</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w:t>
            </w:r>
          </w:p>
        </w:tc>
      </w:tr>
      <w:tr>
        <w:tblPrEx>
          <w:tblLayout w:type="fixed"/>
          <w:tblCellMar>
            <w:top w:w="0" w:type="dxa"/>
            <w:left w:w="108" w:type="dxa"/>
            <w:bottom w:w="0" w:type="dxa"/>
            <w:right w:w="108" w:type="dxa"/>
          </w:tblCellMar>
        </w:tblPrEx>
        <w:trPr>
          <w:trHeight w:val="1270"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84" w:type="dxa"/>
            <w:vMerge w:val="restart"/>
            <w:tcBorders>
              <w:top w:val="nil"/>
              <w:left w:val="nil"/>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产出质量（10分）</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服务专业度</w:t>
            </w:r>
          </w:p>
          <w:p>
            <w:pPr>
              <w:widowControl/>
              <w:jc w:val="center"/>
              <w:rPr>
                <w:rFonts w:ascii="宋体" w:hAnsi="宋体" w:eastAsia="宋体" w:cs="宋体"/>
                <w:kern w:val="0"/>
                <w:sz w:val="28"/>
                <w:szCs w:val="28"/>
              </w:rPr>
            </w:pPr>
            <w:r>
              <w:rPr>
                <w:rFonts w:hint="eastAsia" w:ascii="宋体" w:hAnsi="宋体" w:eastAsia="宋体" w:cs="宋体"/>
                <w:kern w:val="0"/>
                <w:sz w:val="28"/>
                <w:szCs w:val="28"/>
              </w:rPr>
              <w:t>（5分）</w:t>
            </w:r>
          </w:p>
        </w:tc>
        <w:tc>
          <w:tcPr>
            <w:tcW w:w="5189" w:type="dxa"/>
            <w:tcBorders>
              <w:top w:val="nil"/>
              <w:left w:val="nil"/>
              <w:bottom w:val="single" w:color="auto" w:sz="4" w:space="0"/>
              <w:right w:val="single" w:color="auto" w:sz="4" w:space="0"/>
            </w:tcBorders>
            <w:shd w:val="clear" w:color="auto" w:fill="auto"/>
            <w:vAlign w:val="center"/>
          </w:tcPr>
          <w:p>
            <w:pPr>
              <w:pStyle w:val="2"/>
              <w:adjustRightInd w:val="0"/>
              <w:snapToGrid w:val="0"/>
              <w:spacing w:before="0" w:after="0"/>
              <w:jc w:val="left"/>
              <w:rPr>
                <w:rFonts w:ascii="宋体" w:hAnsi="宋体" w:cs="宋体"/>
                <w:b w:val="0"/>
                <w:bCs w:val="0"/>
                <w:kern w:val="0"/>
                <w:sz w:val="28"/>
                <w:szCs w:val="28"/>
              </w:rPr>
            </w:pPr>
            <w:r>
              <w:rPr>
                <w:rFonts w:hint="eastAsia" w:ascii="宋体" w:hAnsi="宋体" w:cs="宋体"/>
                <w:b w:val="0"/>
                <w:bCs w:val="0"/>
                <w:kern w:val="0"/>
                <w:sz w:val="28"/>
                <w:szCs w:val="28"/>
              </w:rPr>
              <w:t>评价要点：</w:t>
            </w:r>
          </w:p>
          <w:p>
            <w:pPr>
              <w:pStyle w:val="2"/>
              <w:adjustRightInd w:val="0"/>
              <w:snapToGrid w:val="0"/>
              <w:spacing w:before="0" w:after="0"/>
              <w:jc w:val="left"/>
              <w:rPr>
                <w:rFonts w:ascii="宋体" w:hAnsi="宋体" w:cs="宋体"/>
                <w:b w:val="0"/>
                <w:bCs w:val="0"/>
                <w:kern w:val="0"/>
                <w:sz w:val="28"/>
                <w:szCs w:val="28"/>
              </w:rPr>
            </w:pPr>
            <w:r>
              <w:rPr>
                <w:rFonts w:hint="eastAsia" w:ascii="宋体" w:hAnsi="宋体" w:cs="宋体"/>
                <w:b w:val="0"/>
                <w:bCs w:val="0"/>
                <w:kern w:val="0"/>
                <w:sz w:val="28"/>
                <w:szCs w:val="28"/>
              </w:rPr>
              <w:t>衡量养老服务提供方的专业度。</w:t>
            </w:r>
          </w:p>
          <w:p>
            <w:pPr>
              <w:rPr>
                <w:rFonts w:ascii="宋体" w:hAnsi="宋体" w:eastAsia="宋体"/>
                <w:sz w:val="28"/>
                <w:szCs w:val="28"/>
              </w:rPr>
            </w:pPr>
            <w:r>
              <w:rPr>
                <w:rFonts w:hint="eastAsia" w:ascii="宋体" w:hAnsi="宋体" w:eastAsia="宋体" w:cs="宋体"/>
                <w:kern w:val="0"/>
                <w:sz w:val="28"/>
                <w:szCs w:val="28"/>
              </w:rPr>
              <w:t>①供应商各项专业资质证书齐全，得2分；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②供应商具有一定规模，注册资本1000万以上，得1分；</w:t>
            </w:r>
            <w:r>
              <w:rPr>
                <w:rFonts w:hint="eastAsia" w:ascii="宋体" w:hAnsi="宋体" w:eastAsia="宋体" w:cs="宋体"/>
                <w:kern w:val="0"/>
                <w:sz w:val="28"/>
                <w:szCs w:val="28"/>
              </w:rPr>
              <w:br w:type="textWrapping"/>
            </w:r>
            <w:r>
              <w:rPr>
                <w:rFonts w:hint="eastAsia" w:ascii="宋体" w:hAnsi="宋体" w:eastAsia="宋体" w:cs="宋体"/>
                <w:kern w:val="0"/>
                <w:sz w:val="28"/>
                <w:szCs w:val="28"/>
              </w:rPr>
              <w:t>③供应商经营范围涵盖项目内容，得2分。</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w:t>
            </w:r>
          </w:p>
        </w:tc>
      </w:tr>
      <w:tr>
        <w:tblPrEx>
          <w:tblLayout w:type="fixed"/>
          <w:tblCellMar>
            <w:top w:w="0" w:type="dxa"/>
            <w:left w:w="108" w:type="dxa"/>
            <w:bottom w:w="0" w:type="dxa"/>
            <w:right w:w="108" w:type="dxa"/>
          </w:tblCellMar>
        </w:tblPrEx>
        <w:trPr>
          <w:trHeight w:val="1270"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84"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bookmarkStart w:id="3" w:name="_Hlk154600577"/>
            <w:r>
              <w:rPr>
                <w:rFonts w:hint="eastAsia" w:ascii="宋体" w:hAnsi="宋体" w:eastAsia="宋体" w:cs="宋体"/>
                <w:kern w:val="0"/>
                <w:sz w:val="28"/>
                <w:szCs w:val="28"/>
              </w:rPr>
              <w:t>养老服务机构考核评价</w:t>
            </w:r>
            <w:bookmarkEnd w:id="3"/>
            <w:r>
              <w:rPr>
                <w:rFonts w:hint="eastAsia" w:ascii="宋体" w:hAnsi="宋体" w:eastAsia="宋体" w:cs="宋体"/>
                <w:kern w:val="0"/>
                <w:sz w:val="28"/>
                <w:szCs w:val="28"/>
              </w:rPr>
              <w:t>（5分）</w:t>
            </w:r>
          </w:p>
        </w:tc>
        <w:tc>
          <w:tcPr>
            <w:tcW w:w="518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评价要点：</w:t>
            </w:r>
          </w:p>
          <w:p>
            <w:pPr>
              <w:widowControl/>
              <w:adjustRightInd w:val="0"/>
              <w:snapToGrid w:val="0"/>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衡量养老服务提供方得服务质量。</w:t>
            </w:r>
          </w:p>
          <w:p>
            <w:pPr>
              <w:widowControl/>
              <w:adjustRightInd w:val="0"/>
              <w:snapToGrid w:val="0"/>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考核结果为优秀得5分，良好得4分，合格得3分，不合格不得分。</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w:t>
            </w:r>
          </w:p>
        </w:tc>
      </w:tr>
      <w:tr>
        <w:tblPrEx>
          <w:tblLayout w:type="fixed"/>
          <w:tblCellMar>
            <w:top w:w="0" w:type="dxa"/>
            <w:left w:w="108" w:type="dxa"/>
            <w:bottom w:w="0" w:type="dxa"/>
            <w:right w:w="108" w:type="dxa"/>
          </w:tblCellMar>
        </w:tblPrEx>
        <w:trPr>
          <w:trHeight w:val="825"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产出时效（5分）</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结算及时性（5分）</w:t>
            </w:r>
          </w:p>
        </w:tc>
        <w:tc>
          <w:tcPr>
            <w:tcW w:w="51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评价要点：</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反映部门对服务提供方结算的及时性。在合理的结算时期内完成结算得满分，超出时间则酌情扣分。</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w:t>
            </w:r>
          </w:p>
        </w:tc>
      </w:tr>
      <w:tr>
        <w:tblPrEx>
          <w:tblLayout w:type="fixed"/>
          <w:tblCellMar>
            <w:top w:w="0" w:type="dxa"/>
            <w:left w:w="108" w:type="dxa"/>
            <w:bottom w:w="0" w:type="dxa"/>
            <w:right w:w="108" w:type="dxa"/>
          </w:tblCellMar>
        </w:tblPrEx>
        <w:trPr>
          <w:trHeight w:val="825" w:hRule="atLeast"/>
          <w:jc w:val="center"/>
        </w:trPr>
        <w:tc>
          <w:tcPr>
            <w:tcW w:w="97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产出成本（5）</w:t>
            </w:r>
          </w:p>
        </w:tc>
        <w:tc>
          <w:tcPr>
            <w:tcW w:w="96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8"/>
                <w:szCs w:val="28"/>
              </w:rPr>
            </w:pPr>
            <w:r>
              <w:rPr>
                <w:rFonts w:hint="eastAsia" w:ascii="宋体" w:hAnsi="宋体" w:eastAsia="宋体" w:cs="宋体"/>
                <w:kern w:val="0"/>
                <w:sz w:val="28"/>
                <w:szCs w:val="28"/>
              </w:rPr>
              <w:t>成本控制率（5分）</w:t>
            </w:r>
          </w:p>
        </w:tc>
        <w:tc>
          <w:tcPr>
            <w:tcW w:w="51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评价要点：</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完成项目计划工作目标的实际节约成本与计划成本的比率，用以反映和考核项目的成本节约程度。</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成本节约率=[（计划成本-实际成本）/计划成本]×100%。</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实际成本：项目实施单位如期、保质、保量完成既定工作目标实际所耗费的支出。</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计划成本：项目实施单位为完成工作目标计划安排的支出，一般以项目预算为参考。</w:t>
            </w:r>
          </w:p>
          <w:p>
            <w:pPr>
              <w:widowControl/>
              <w:jc w:val="left"/>
              <w:rPr>
                <w:rFonts w:ascii="宋体" w:hAnsi="宋体" w:eastAsia="宋体" w:cs="宋体"/>
                <w:kern w:val="0"/>
                <w:sz w:val="28"/>
                <w:szCs w:val="28"/>
              </w:rPr>
            </w:pPr>
            <w:r>
              <w:rPr>
                <w:rFonts w:hint="eastAsia" w:ascii="宋体" w:hAnsi="宋体" w:eastAsia="宋体" w:cs="宋体"/>
                <w:color w:val="000000"/>
                <w:kern w:val="0"/>
                <w:sz w:val="28"/>
                <w:szCs w:val="28"/>
              </w:rPr>
              <w:t>成本节约率≥0得满分，否则不得分。</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w:t>
            </w:r>
          </w:p>
        </w:tc>
      </w:tr>
      <w:tr>
        <w:tblPrEx>
          <w:tblLayout w:type="fixed"/>
          <w:tblCellMar>
            <w:top w:w="0" w:type="dxa"/>
            <w:left w:w="108" w:type="dxa"/>
            <w:bottom w:w="0" w:type="dxa"/>
            <w:right w:w="108" w:type="dxa"/>
          </w:tblCellMar>
        </w:tblPrEx>
        <w:trPr>
          <w:trHeight w:val="1170" w:hRule="atLeast"/>
          <w:jc w:val="center"/>
        </w:trPr>
        <w:tc>
          <w:tcPr>
            <w:tcW w:w="9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效益（30分）</w:t>
            </w:r>
          </w:p>
        </w:tc>
        <w:tc>
          <w:tcPr>
            <w:tcW w:w="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社会效益（10分）</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单位合同签订合规率（10分）</w:t>
            </w:r>
          </w:p>
        </w:tc>
        <w:tc>
          <w:tcPr>
            <w:tcW w:w="518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8"/>
                <w:szCs w:val="28"/>
              </w:rPr>
            </w:pPr>
            <w:r>
              <w:rPr>
                <w:rFonts w:hint="eastAsia" w:ascii="宋体" w:hAnsi="宋体" w:eastAsia="宋体" w:cs="宋体"/>
                <w:kern w:val="0"/>
                <w:sz w:val="28"/>
                <w:szCs w:val="28"/>
              </w:rPr>
              <w:t>评价要点：</w:t>
            </w:r>
          </w:p>
          <w:p>
            <w:pPr>
              <w:widowControl/>
              <w:rPr>
                <w:rFonts w:ascii="宋体" w:hAnsi="宋体" w:eastAsia="宋体" w:cs="宋体"/>
                <w:kern w:val="0"/>
                <w:sz w:val="28"/>
                <w:szCs w:val="28"/>
              </w:rPr>
            </w:pPr>
            <w:r>
              <w:rPr>
                <w:rFonts w:hint="eastAsia" w:ascii="宋体" w:hAnsi="宋体" w:eastAsia="宋体" w:cs="宋体"/>
                <w:kern w:val="0"/>
                <w:sz w:val="28"/>
                <w:szCs w:val="28"/>
              </w:rPr>
              <w:t>衡量政府购买过程的公开透明程度。</w:t>
            </w:r>
          </w:p>
          <w:p>
            <w:pPr>
              <w:widowControl/>
              <w:rPr>
                <w:rFonts w:ascii="宋体" w:hAnsi="宋体" w:eastAsia="宋体" w:cs="宋体"/>
                <w:kern w:val="0"/>
                <w:sz w:val="28"/>
                <w:szCs w:val="28"/>
              </w:rPr>
            </w:pPr>
            <w:r>
              <w:rPr>
                <w:rFonts w:hint="eastAsia" w:ascii="宋体" w:hAnsi="宋体" w:eastAsia="宋体" w:cs="宋体"/>
                <w:kern w:val="0"/>
                <w:sz w:val="28"/>
                <w:szCs w:val="28"/>
              </w:rPr>
              <w:t>①有完整的招投标以及合同签订程序，得5分；</w:t>
            </w:r>
            <w:r>
              <w:rPr>
                <w:rFonts w:ascii="宋体" w:hAnsi="宋体" w:eastAsia="宋体" w:cs="宋体"/>
                <w:kern w:val="0"/>
                <w:sz w:val="28"/>
                <w:szCs w:val="28"/>
              </w:rPr>
              <w:br w:type="textWrapping"/>
            </w:r>
            <w:r>
              <w:rPr>
                <w:rFonts w:hint="eastAsia" w:ascii="宋体" w:hAnsi="宋体" w:eastAsia="宋体" w:cs="宋体"/>
                <w:kern w:val="0"/>
                <w:sz w:val="28"/>
                <w:szCs w:val="28"/>
              </w:rPr>
              <w:t>②合同内容合理合法，得5分。</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w:t>
            </w:r>
          </w:p>
        </w:tc>
      </w:tr>
      <w:tr>
        <w:tblPrEx>
          <w:tblLayout w:type="fixed"/>
          <w:tblCellMar>
            <w:top w:w="0" w:type="dxa"/>
            <w:left w:w="108" w:type="dxa"/>
            <w:bottom w:w="0" w:type="dxa"/>
            <w:right w:w="108" w:type="dxa"/>
          </w:tblCellMar>
        </w:tblPrEx>
        <w:trPr>
          <w:trHeight w:val="880"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经济效益（6分）</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ascii="宋体" w:hAnsi="宋体" w:eastAsia="宋体"/>
                <w:sz w:val="28"/>
                <w:szCs w:val="28"/>
                <w:shd w:val="clear" w:color="auto" w:fill="FFFFFF"/>
              </w:rPr>
              <w:t>城乡居民社会养老保险参保率</w:t>
            </w:r>
            <w:r>
              <w:rPr>
                <w:rFonts w:hint="eastAsia" w:ascii="宋体" w:hAnsi="宋体" w:eastAsia="宋体"/>
                <w:sz w:val="28"/>
                <w:szCs w:val="28"/>
                <w:shd w:val="clear" w:color="auto" w:fill="FFFFFF"/>
              </w:rPr>
              <w:t>提升（6分）</w:t>
            </w:r>
          </w:p>
        </w:tc>
        <w:tc>
          <w:tcPr>
            <w:tcW w:w="51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评价要点：</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衡量项目实施区域</w:t>
            </w:r>
            <w:r>
              <w:rPr>
                <w:rFonts w:ascii="宋体" w:hAnsi="宋体" w:eastAsia="宋体"/>
                <w:sz w:val="28"/>
                <w:szCs w:val="28"/>
                <w:shd w:val="clear" w:color="auto" w:fill="FFFFFF"/>
              </w:rPr>
              <w:t>城乡居民社会养老保险参保率</w:t>
            </w:r>
            <w:r>
              <w:rPr>
                <w:rFonts w:hint="eastAsia" w:ascii="宋体" w:hAnsi="宋体" w:eastAsia="宋体"/>
                <w:sz w:val="28"/>
                <w:szCs w:val="28"/>
                <w:shd w:val="clear" w:color="auto" w:fill="FFFFFF"/>
              </w:rPr>
              <w:t>的提升表现。</w:t>
            </w:r>
            <w:r>
              <w:rPr>
                <w:rFonts w:hint="eastAsia" w:ascii="宋体" w:hAnsi="宋体" w:eastAsia="宋体" w:cs="宋体"/>
                <w:kern w:val="0"/>
                <w:sz w:val="28"/>
                <w:szCs w:val="28"/>
              </w:rPr>
              <w:t xml:space="preserve">比上年增长得满分，未增长或持平不得分。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w:t>
            </w:r>
          </w:p>
        </w:tc>
      </w:tr>
      <w:tr>
        <w:tblPrEx>
          <w:tblLayout w:type="fixed"/>
          <w:tblCellMar>
            <w:top w:w="0" w:type="dxa"/>
            <w:left w:w="108" w:type="dxa"/>
            <w:bottom w:w="0" w:type="dxa"/>
            <w:right w:w="108" w:type="dxa"/>
          </w:tblCellMar>
        </w:tblPrEx>
        <w:trPr>
          <w:trHeight w:val="1252"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可持续影响（4分）</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促进养老服务专业化发展（4分）</w:t>
            </w:r>
          </w:p>
        </w:tc>
        <w:tc>
          <w:tcPr>
            <w:tcW w:w="518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8"/>
                <w:szCs w:val="28"/>
              </w:rPr>
            </w:pPr>
            <w:r>
              <w:rPr>
                <w:rFonts w:hint="eastAsia" w:ascii="宋体" w:hAnsi="宋体" w:eastAsia="宋体" w:cs="宋体"/>
                <w:kern w:val="0"/>
                <w:sz w:val="28"/>
                <w:szCs w:val="28"/>
              </w:rPr>
              <w:t>评价要点：</w:t>
            </w:r>
          </w:p>
          <w:p>
            <w:pPr>
              <w:widowControl/>
              <w:rPr>
                <w:rFonts w:ascii="宋体" w:hAnsi="宋体" w:eastAsia="宋体" w:cs="宋体"/>
                <w:kern w:val="0"/>
                <w:sz w:val="28"/>
                <w:szCs w:val="28"/>
              </w:rPr>
            </w:pPr>
            <w:r>
              <w:rPr>
                <w:rFonts w:hint="eastAsia" w:ascii="宋体" w:hAnsi="宋体" w:eastAsia="宋体" w:cs="宋体"/>
                <w:kern w:val="0"/>
                <w:sz w:val="28"/>
                <w:szCs w:val="28"/>
              </w:rPr>
              <w:t>衡量实施该项目对促进养老服务专业化发展、社会力量参与度提升的效果。</w:t>
            </w:r>
          </w:p>
          <w:p>
            <w:pPr>
              <w:widowControl/>
              <w:rPr>
                <w:rFonts w:ascii="宋体" w:hAnsi="宋体" w:eastAsia="宋体" w:cs="宋体"/>
                <w:kern w:val="0"/>
                <w:sz w:val="28"/>
                <w:szCs w:val="28"/>
              </w:rPr>
            </w:pPr>
            <w:r>
              <w:rPr>
                <w:rFonts w:hint="eastAsia" w:ascii="宋体" w:hAnsi="宋体" w:eastAsia="宋体" w:cs="宋体"/>
                <w:kern w:val="0"/>
                <w:sz w:val="28"/>
                <w:szCs w:val="28"/>
              </w:rPr>
              <w:t>可持续性效果显著（4分）；可持续性效果较显著（1-3分）；效果不明显（0分）。</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r>
      <w:tr>
        <w:tblPrEx>
          <w:tblLayout w:type="fixed"/>
          <w:tblCellMar>
            <w:top w:w="0" w:type="dxa"/>
            <w:left w:w="108" w:type="dxa"/>
            <w:bottom w:w="0" w:type="dxa"/>
            <w:right w:w="108" w:type="dxa"/>
          </w:tblCellMar>
        </w:tblPrEx>
        <w:trPr>
          <w:trHeight w:val="885" w:hRule="atLeast"/>
          <w:jc w:val="center"/>
        </w:trPr>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服务对象满意度（10分）</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养老服务对象满意度（10分）</w:t>
            </w:r>
          </w:p>
        </w:tc>
        <w:tc>
          <w:tcPr>
            <w:tcW w:w="518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8"/>
                <w:szCs w:val="28"/>
              </w:rPr>
            </w:pPr>
            <w:r>
              <w:rPr>
                <w:rFonts w:hint="eastAsia" w:ascii="宋体" w:hAnsi="宋体" w:eastAsia="宋体" w:cs="宋体"/>
                <w:kern w:val="0"/>
                <w:sz w:val="28"/>
                <w:szCs w:val="28"/>
              </w:rPr>
              <w:t>通过满意度问卷调查，按非常满意10分，满意8分，一般6分，不满意2分，很不满意0分进行打分，加权平均折算为满意率。得分=满意率×指标分值。</w:t>
            </w:r>
          </w:p>
        </w:tc>
        <w:tc>
          <w:tcPr>
            <w:tcW w:w="9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8.5</w:t>
            </w:r>
          </w:p>
        </w:tc>
      </w:tr>
    </w:tbl>
    <w:p>
      <w:pPr>
        <w:spacing w:line="360" w:lineRule="auto"/>
        <w:ind w:firstLine="640" w:firstLineChars="200"/>
        <w:rPr>
          <w:rFonts w:ascii="黑体" w:hAnsi="黑体" w:eastAsia="黑体"/>
          <w:sz w:val="32"/>
          <w:szCs w:val="32"/>
        </w:rPr>
      </w:pPr>
      <w:r>
        <w:rPr>
          <w:rFonts w:hint="eastAsia" w:ascii="黑体" w:hAnsi="黑体" w:eastAsia="黑体"/>
          <w:sz w:val="32"/>
          <w:szCs w:val="32"/>
        </w:rPr>
        <w:t>四、绩效评价指标分析</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（一）项目决策情况（分值20分，得分11分）</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1.项目立项（满分8分，得分7分）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（1）立项依据充分性（得分4分）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立项依据充分性指标主要评价项目立项是否符合法律法规、相关政策、发展规划以及部门职责，用以反映和考核项目立项依据情况。</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根据核实福州市仓山区民政局提供的佐证材料，该项目依据《福建省</w:t>
      </w:r>
      <w:r>
        <w:rPr>
          <w:rFonts w:hint="eastAsia" w:ascii="仿宋_GB2312" w:hAnsi="黑体" w:eastAsia="仿宋_GB2312"/>
          <w:sz w:val="32"/>
          <w:szCs w:val="32"/>
          <w:lang w:eastAsia="zh-CN"/>
        </w:rPr>
        <w:t>人</w:t>
      </w:r>
      <w:bookmarkStart w:id="4" w:name="_GoBack"/>
      <w:bookmarkEnd w:id="4"/>
      <w:r>
        <w:rPr>
          <w:rFonts w:hint="eastAsia" w:ascii="仿宋_GB2312" w:hAnsi="黑体" w:eastAsia="仿宋_GB2312"/>
          <w:sz w:val="32"/>
          <w:szCs w:val="32"/>
        </w:rPr>
        <w:t>民政府办公厅关于&lt;加快城乡社区居家养老专业化服务&gt;的通知》（闽政办〔2016〕126号）、《福建省民政厅关于印发&lt;推进城乡社区居家养老专业化服务组织落地实施方案&gt;的通知》（闽民福〔2016〕199号）而设立，符合国家法律法规、国民经济发展规划和相关政策，资金支出符合中央、地方事权支出责任划分原则。该项目的立项依据充分，但是存在和仓山区2022年项目支出经费预算中的“养老服务专项经费”有重叠部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根据指标体系评分标准，此项指标扣1分，绩效评价得分为4分。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（2）立项程序规范性（得分3分）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立项程序规范性指标主要考核项目申请、设立过程是否符合相关要求，用以反映和考核项目立项的规范情况。</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核实福州市仓山区民政局提供的佐证材料，本项目已持续4年，三年为一个合同周期，2018年-2021年为第一个周期，2021年3月23日在仓山区人民政府常务会议经集体决策继续设立该项目，2022年为本次政府购买服务合同的首年，立项程序规范。</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根据指标体系评分标准，此项指标绩效评价得分为3分。</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2.绩效目标（满分6分，得分4分）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（1）绩效目标合理性（得分2分）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绩效目标合理性指标主要考核项目所设定的绩效目标是否依据充分、是否符合客观实际，用以反映和考核项目绩效目标与项目实施的相符情况。</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根据核实福州市仓山区民政局提供的佐证材料，项目设定了绩效目标，目标符合国家相关法律法规和国民经济发展规划相符。但是由于资金预算材料的缺失不满足无法确定的项目投资额或资金量相匹配。</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根据指标体系评分标准，此项指标扣1分，绩效评价得分为2分。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（2）绩效指标明确性（得分2分）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绩效指标明确性指标主要评价设定的绩效指标是否清晰、细化、可衡量等，用以反映和考核项目绩效目标的明细化情况。</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核实福州市仓山区民政局提供的佐证材料，项目目标总体分为三级指标，涉及产出指标、效益指标和满意度指标，部分指标设置内容与项目内容不符，如社会效益指标的“城市养老服务设施覆盖率”并非本项目服务的内容。</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根据指标体系评分标准，此项指标扣分1分，绩效评价得分为2分。</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3．资金投入（满分6分，得分0分）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（1）预算编制科学性（得分0分）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预算编制科学性主要评价项目预算编制是否经过科学论证、有明确标准，资金额度与年度目标是否相适应，用以反映和考核项目预算编制的科学性、合理性情况。</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通过核实福州市仓山区民政局提供的佐证材料，无具体资金预算材料，根据指标体系评分标准，此项指标绩效评价得分为0分。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（2）资金分配合理性（得分0分）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 xml:space="preserve">资金分配合理性主要评价项目预算资金分配是否有测算依据，与补助单位或地方实际是否相适应，用以反映和考核项目预算资金分配的科学性、合理性情况。  </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通过核实福州市仓山区民政局提供的佐证材料，未见2022年度本项目资金分配具体数据资料。</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根据指标体系评分标准，此项指标绩效评价得分为0分。</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（二）项目过程情况（满分20分，得分13分）</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1.资金管理（满分10分，得分4分）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（1）资金到位率（得分0分）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实际到位资金与预算资金的比率，用以反映和考核资金落实情况对项目实施的总体保障程度。实际到位资金指一定时期（本年度或项目期）内落实到具体项目的资金。</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通过核实仓山区民政局提供的相关佐证材料，2022年仓山区民政局政府购买居家养老服务项目预算财政资金783.12万元，2022年底由于疫情原因工作停摆，2022年项目分季度结算资金于2023年6月全部审批到位，分别是2022年第一、二季度实际到位资金228.98万元,第三、四季度到位资金185.52万元，资金到位率=（228.98+185.52）/783.12×100%=52.93%</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根据指标体系评分标准，此项指标绩效评价得分为0分。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（2）预算执行率（得分0分）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预算执行率指标主要评价项目预算资金是否按照计划执行，用以反映或考核项目预算执行情况。预算执行率=（实际支出资金/实际到位资金）×100%。</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通过核实仓山区民政局以及山东青鸟软通信息技术股份有限公司、厦门智宇信息技术有限公司、福建微尚生活服务有限公司三家养老服务提供商提供的相关佐证材料，该项目实际到位资金414.50万元，2022年度实际支出0元。2023年支出共186.6万元，预算执行率=（实际支出资金/实际到位资金）×100%=186.6/414.50×100%=45.02%。</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根据指标体系评分标准，此项指标绩效评价得分为0分。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（3）资金使用合规性（得分4分）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资金使用合规性指标主要评价项目资金使用是否符合相关的财务管理制度规定，用以反映和考核项目资金的规范运行情况。</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实地调研核实项目财务运行状况，资金使用符合国家财经法规和财务管理制度以及有关专项资金管理办法的规定；符合项目预算批复或合同规定的用途；暂未发现资金使用存在截留、挤占、挪用、虚列支出等情况。</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根据绩效评价指标体系评分标准，绩效评价得分为4分。</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2.组织实施（满分10分，得分9分）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（1）管理制度健全性（得分4分）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管理制度健全性主要评价项目实施单位是否已制定或具有相应的财务和业务管理制度，财务和业务管理制度是否合法、合规、完整，用以反映和考核财务和业务管理制度对项目顺利实施的保障情况。</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通过核实福州市仓山区民政局提供的相关佐证材料，仓山区民政局制定了财务管理制度以及项目控制制度，制定养老服务申请流程图以及公示材料模板业务管理资料并执行，但是财务管理制度不针对项目支出的财务管理，而是部门的财务管理制度。</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根据指标体系评分标准，此项指标扣1分，绩效评价得分为4分。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（2）制度执行有效性（得分5分）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制度执行有效性主要评价项目实施是否符合相关管理规定，用以反映和考核相关管理制度的有效执行情况。</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通过核实福州市仓山区民政局提供的相关佐证材料，仓山区民政局在各个项目运作时，能够遵守相关法律法规和相关管理规定，按照《福州市政府购买居家养老上门服务实施办法》的通知执行，相关手续完备，资料齐全。</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根据指标体系评分标准，此项指标绩效评价得分为5分。</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（三）项目产出情况（满分30分，得分30分）</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1.产出数量（满分10分，得分10分）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（1）补助街镇数（得分10分）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产出数量指标主要评价“补助街镇数”指标。反映资金支出是否与预算绩效指标相符合。通过核实仓山区民政局提供的佐证资料，对于仓山区全部13个街镇，区级财政资金和街镇分比例承担养老服务金额。5个镇（仓山镇、盖山镇、城门镇、建新镇、螺洲镇）和金山街道与区财政按照5：5的比例承担，其他7个街道（仓前街道、东升街道、下渡街道、对湖街道、上渡街道、临江街道、三叉街街道）和区级财政按3:7的比例承担，实现绩效目标补助街镇数13个全覆盖。</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根据指标体系评分标准，此项指标绩效评价得分为10分。</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2.产出质量（满分10分，得分10分）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（1）服务专业度（得分5分）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服务专业度”主要评价衡量养老服务提供方的企业情况。通过信息查询3家供应商均符合指标体系要求，供应商各项专业资质证书齐全，山东青鸟软通信息技术股份有限公司注册资本5974.6万元，厦门智宇信息技术有限公司注册资本5262.5万元，福建微尚生活服务有限公司注册资本1500万元，且三家公司的经营范围均涵盖服务内容。</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根据指标体系评分标准，此项指标效评价得分为5分。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（2）养老服务机构考核评价（得分5分）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养老服务机构考核评价”主要评价衡量养老服务提供方的质量情况。通过核实仓山区民政局提供的佐证资料，仓山区民政局每半年对供应商企业进行一次考核评价。考核内容包括居家养老服务承接机构信息服务平台质量评估、服务对象满意度考核、镇街日常考核、区民政部门日场考核四部分，根据公开资料显示，三家公司考核结果均为优秀。</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根据指标体系评分标准，此项指标绩效评价得分为5分。</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3.产出时效（满5分，得分5分）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产出时效指标主要评价和居家养老服务提供机构结算的及时性。“计算及时性”指标通过实际结算时间与计划结算时间的比较，用以衡量民政局产出时效目标的实现程度。</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通过核实福州市仓山区财政局以及养老服务承接机构提供的相关佐证材料，截止到目前，2022年一二季度的费用金额已基本结算完毕，2022年三、四季度目前仅有螺洲街道、东升街道、上渡街道进行结算。</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根据指标体系评分标准，考虑到2022年以及2023年初疫情原因造成的工作停摆，绩效评价得分为5分。</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4.产出成本（满5分，得分5分）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“成本控制率”指标考核完成项目计划工作目标的实际节约成本与计划成本的比率，用以反映和考核项目的成本节约程度，以成本节约率来衡量。</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通过核实福州市仓山区财政局提供的相关佐证材料，合同计划的单价为基础信息服务30元/人/月，实体服务为260元/人/月，则2022年四个季度总计划成本为783.34万元，实际支出成本为652.05万元，成本节约率=（783.34-652.05）/783.34×100%=16.76%&gt;0。</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根据指标体系评分标准，此项指标绩效评价得分为5分。</w:t>
      </w:r>
    </w:p>
    <w:p>
      <w:pPr>
        <w:spacing w:line="360" w:lineRule="auto"/>
        <w:ind w:firstLine="640" w:firstLineChars="200"/>
        <w:rPr>
          <w:rFonts w:ascii="楷体" w:hAnsi="楷体" w:eastAsia="楷体"/>
          <w:sz w:val="32"/>
          <w:szCs w:val="32"/>
        </w:rPr>
      </w:pPr>
      <w:r>
        <w:rPr>
          <w:rFonts w:hint="eastAsia" w:ascii="楷体" w:hAnsi="楷体" w:eastAsia="楷体"/>
          <w:sz w:val="32"/>
          <w:szCs w:val="32"/>
        </w:rPr>
        <w:t>（四）项目效益情况（满分30分，得分28.5分）</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1.社会效益（满分10分，得分10分）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社会效益指标设置单位合同签订合规率，衡量政府购买过程的公开透明程度，考核对社会力量参与公共产品发展的正向促进作用。。</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通过核实福州市仓山区民政局提供的相关佐证材料，2022年民政局购买居家养老服务共与三家机构签订合同，公开资料显示购买前有完整的招投标以及合同签订程序，合同内容合理合法。</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根据指标体系评分标准，绩效评价得分为10分。</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2.经济效益（满分6分，得分6分）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经济效益指标以城乡居民社会养老保险参保率提升程度来衡量。考核项目实施区域城乡居民社会养老保险参保率的提升表现。</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通过查阅2022年福州市仓山区经济统计资料，福州市仓山区2022城乡居民社会养老保险参保率96.6%，比上年末增长3.6个百分点，专业化的养老服务有效提升了人民群众的养老信心。</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根据指标体系评分标准，绩效评价得分为6分。</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3.可持续性影响（满分4分，得分4分）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可持续影响该项指标以促进养老服务专业化发展程度来考核。通过实施该项目对促进养老服务专业化发展、社会力量参与度提升是否具有促进作用来反映项目是否具有可持续性。</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通过核实福州市仓山区民政局提供的相关佐证材料，项目主要由政府引进社会专业化养老机构平台来承接公共养老服务，使人民群众获得的养老服务更加专业，同时将社会力量引入到公共服务领域中,激发社会力量的参与热情,提高公共服务的质量和效率。可持续性效果较为显著。</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根据指标体系评分标准，绩效评价得分4分。</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4.服务对象满意度（满分10分，得分8.5分）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服务对象满意度设置服务对象满意度五级指标，通过接受居家养老服务的老人及其家庭对2022年福州市仓山区民政局政府购买居家养老服务项目的满意度进行评价，用以反映和考核仓山区民政局政府购买居家养老服务项目服务对象满意度。</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针对仓山区民政局政府购买居家养老服务共回收有效调查问卷42份,总体满意度评价结果：非常满意25份，满意8份，一般6份，不满意3份，很不满意0份，共计42份；按对应分值统计总得分356分，问卷标准分值420分，折算得分8.5分。得分计算过程：</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问卷总得分=满意度×对应分值</w:t>
      </w:r>
    </w:p>
    <w:p>
      <w:pPr>
        <w:spacing w:line="360" w:lineRule="auto"/>
        <w:ind w:left="2398" w:leftChars="304" w:hanging="1760" w:hangingChars="550"/>
        <w:rPr>
          <w:rFonts w:ascii="仿宋_GB2312" w:hAnsi="黑体" w:eastAsia="仿宋_GB2312"/>
          <w:sz w:val="32"/>
          <w:szCs w:val="32"/>
        </w:rPr>
      </w:pPr>
      <w:r>
        <w:rPr>
          <w:rFonts w:hint="eastAsia" w:ascii="仿宋_GB2312" w:hAnsi="黑体" w:eastAsia="仿宋_GB2312"/>
          <w:sz w:val="32"/>
          <w:szCs w:val="32"/>
        </w:rPr>
        <w:t xml:space="preserve">          =非常满意×10分+满意×8分+一般×6份+不满意×2分+很不满意×0分</w:t>
      </w:r>
    </w:p>
    <w:p>
      <w:pPr>
        <w:spacing w:line="360" w:lineRule="auto"/>
        <w:ind w:left="1915" w:leftChars="912" w:firstLine="320" w:firstLineChars="100"/>
        <w:rPr>
          <w:rFonts w:ascii="仿宋_GB2312" w:hAnsi="黑体" w:eastAsia="仿宋_GB2312"/>
          <w:sz w:val="32"/>
          <w:szCs w:val="32"/>
        </w:rPr>
      </w:pPr>
      <w:r>
        <w:rPr>
          <w:rFonts w:hint="eastAsia" w:ascii="仿宋_GB2312" w:hAnsi="黑体" w:eastAsia="仿宋_GB2312"/>
          <w:sz w:val="32"/>
          <w:szCs w:val="32"/>
        </w:rPr>
        <w:t>=25×10+8×8+6×6+3×2+0×0</w:t>
      </w:r>
    </w:p>
    <w:p>
      <w:pPr>
        <w:spacing w:line="360" w:lineRule="auto"/>
        <w:ind w:left="1915" w:leftChars="912" w:firstLine="320" w:firstLineChars="100"/>
        <w:rPr>
          <w:rFonts w:ascii="仿宋_GB2312" w:hAnsi="黑体" w:eastAsia="仿宋_GB2312"/>
          <w:sz w:val="32"/>
          <w:szCs w:val="32"/>
        </w:rPr>
      </w:pPr>
      <w:r>
        <w:rPr>
          <w:rFonts w:hint="eastAsia" w:ascii="仿宋_GB2312" w:hAnsi="黑体" w:eastAsia="仿宋_GB2312"/>
          <w:sz w:val="32"/>
          <w:szCs w:val="32"/>
        </w:rPr>
        <w:t>=356分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标准分值=42×10=420分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满意度得分=本项分值×问卷总得分/标准分值=10×356/420=8.5分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根据指标体系评分标准，此项指标绩效评价得分为8.5分。</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五、主要成效、存在问题及原因分析</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（一）主要成效</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1.居家养老服务更加专业化</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政府向专业化养老机构购买服务可以使居家养老服务更加专业化，服务质量更高。首先专业化养老机构对居家养老服务的提供者提供了专业培训，确保他们具备必要的技能和知识，引入现代技术手段，如智能家居、远程健康监测等，提高服务的专业性和便利性。其次根据合同内容，服务内容多样化。项目提供的服务内容包括日常照料、健康管理、心理辅导、文化娱乐等多个方面。这些服务不仅关注老年人的物质生活，还注重他们的精神需求，有助于提高老年人的身心健康水平。</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2.提升社会力量在公共服务中的参与度</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通过鼓励和引导社会力量，包括企业、社会组织和个人，参与到居家养老服务中，形成多元化的服务提供模式，提高社会整体对养老服务的关注和参与度，为民营企业创收，同时由于服务的高效性和便利性，根据问卷结果，许多家庭因此减轻了照顾老人的负担，能够更加专注于工作和其他生活事务。同时，这也为政府节约了大量的养老服务成本，使得资源能够更加合理地配置。</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3.增强民众养老信心</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第七次全国人口普查结果显示，中国60岁及以上人口占比超18%，人口老龄化程度进一步加深，未来可能形成的人口比例的失调，使人们对养老还是存在忧虑。政府购买居家养老服务的优势和成果，提高了民众对养老服务的认识和信任度。根据问卷调查结果，在项目实施过程中及时收集和处理民众对居家养老服务的意见和建议，确保服务质量，增强了民众对养老服务的信心。</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（二）存在的问题及原因分析</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1.绩效指标设置不明确</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福州市仓山区民政局在设置政府购买居家养老服务项目的绩效目标时，绩效指标不够明确。在产出方面指标准确清晰，并且有可量化的指标值，这些指标基本上可以反映政府购买居家养老服务项目产出情况。但是分类不够标准且部分指标设置内容不完整甚至不正确，不能很好地体现财政支出的经济性和效率性。如效益二级指标仅有社会效益和可持续影响相关内容，根据项目内涵应当包含经济效益指标内容；如社会效益指标的“城市养老服务设施覆盖率”并非本项目服务的内容。</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2.项目预算不合理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福州市仓山区民政局编制政府购买居家养老服务项目的预算时，只确定了项目预算总金额，并未给预算总金额的具体构成部分以及各项资金分配计划，预算依据不足，导致预算数额与实际需求相差较大，导致预算执行率较低。该项目实际支出金额以实际服务人数为标准，居家养老服务的实际情况可能会发生变化，管理部门应当根据需要及时调整预算以适应这些变化，如果预算调整不及时，可能会导致预算与实际需求脱节，影响服务的正常开展。</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3.项目管理不到位</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项目申报及审核流程基本符合该项目项目控制制度，但是从整个管理过程来看还存在以下问题。首先该项目没有专属的财务管理制度，而且项目控制制度也较为笼统。在项目执行过程中效率不高，如存在结算不及时的问题，虽然考虑到疫情客观原因，但反应出项目管理中执行效率仍待提高。</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六、改进建议</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（一）加强项目前期绩效管理</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福州市仓山区民政局政府购买居家养老服务项目工作组应强化预算管理意识和绩效目标意识。预算编制应该根据项目实际情况和政策文件要求编制，应具有一定科学性，明确预算资金的使用范围及分配详情，当实际情况和计划情况有较大出入时应该及时调整预算金额避免资金浪费。绩效目标应符合并能体现财政资金的引导和杠杆作用。因此，绩效目标应在社会效益指标、经济效益指标、可持续影响和服务对象满意度指标等要素上进行细化，增强绩效目标的可操作性。在今后的绩效管理中可加强项目的事前绩效评估。</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（二）完善项目管理制度，加强执行监督</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项目应当制定具有该项目针对性的专属项目控制制度和财务管理制度并遵照执行。相关负责人员在项目开始实施时就应该明确职责分工提高工作效率，关注执行过程中出现的问题，使项目管理工作和谐高效。应进一步健全过程性监督机制，加强日常的跟踪性监督检查，将例行检查和不定期抽查方式充分结合，杜绝走过场，流于形式，造成项目实施达不到要求，要在制度、机制上进行不断地完善，随时根据项目执行的实际情况调整规划等，确保资金支出和扶持内容相对应。应该建立长效监督机制，以保障补助资金达到预期的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960"/>
    <w:rsid w:val="000648AB"/>
    <w:rsid w:val="00083A86"/>
    <w:rsid w:val="001C6496"/>
    <w:rsid w:val="00340407"/>
    <w:rsid w:val="004521E4"/>
    <w:rsid w:val="00481540"/>
    <w:rsid w:val="004E4830"/>
    <w:rsid w:val="00504494"/>
    <w:rsid w:val="006C3DC2"/>
    <w:rsid w:val="007102FA"/>
    <w:rsid w:val="007D04E4"/>
    <w:rsid w:val="0081375C"/>
    <w:rsid w:val="0082738B"/>
    <w:rsid w:val="008A0E21"/>
    <w:rsid w:val="009522D2"/>
    <w:rsid w:val="00962D3C"/>
    <w:rsid w:val="00A5247C"/>
    <w:rsid w:val="00A62F40"/>
    <w:rsid w:val="00AD46AC"/>
    <w:rsid w:val="00AE2C99"/>
    <w:rsid w:val="00B334D0"/>
    <w:rsid w:val="00B6042B"/>
    <w:rsid w:val="00B86960"/>
    <w:rsid w:val="00BF7305"/>
    <w:rsid w:val="00CD0D4B"/>
    <w:rsid w:val="00FE6586"/>
    <w:rsid w:val="1BAA43D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link w:val="13"/>
    <w:qFormat/>
    <w:uiPriority w:val="9"/>
    <w:pPr>
      <w:keepNext/>
      <w:keepLines/>
      <w:tabs>
        <w:tab w:val="left" w:pos="1151"/>
      </w:tabs>
      <w:spacing w:before="240" w:after="64" w:line="320" w:lineRule="auto"/>
      <w:ind w:left="1151" w:hanging="1151"/>
      <w:outlineLvl w:val="5"/>
    </w:pPr>
    <w:rPr>
      <w:rFonts w:ascii="Cambria" w:hAnsi="Cambria" w:eastAsia="宋体" w:cs="Times New Roman"/>
      <w:b/>
      <w:bCs/>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paragraph" w:customStyle="1" w:styleId="10">
    <w:name w:val="_Style 40"/>
    <w:basedOn w:val="1"/>
    <w:next w:val="11"/>
    <w:qFormat/>
    <w:uiPriority w:val="0"/>
    <w:pPr>
      <w:ind w:firstLine="420" w:firstLineChars="200"/>
    </w:pPr>
    <w:rPr>
      <w:rFonts w:ascii="Times New Roman" w:hAnsi="Times New Roman" w:eastAsia="宋体" w:cs="Times New Roman"/>
    </w:rPr>
  </w:style>
  <w:style w:type="paragraph" w:customStyle="1" w:styleId="11">
    <w:name w:val="List Paragraph"/>
    <w:basedOn w:val="1"/>
    <w:qFormat/>
    <w:uiPriority w:val="34"/>
    <w:pPr>
      <w:ind w:firstLine="420" w:firstLineChars="200"/>
    </w:pPr>
  </w:style>
  <w:style w:type="character" w:customStyle="1" w:styleId="12">
    <w:name w:val="标题 6 Char"/>
    <w:basedOn w:val="6"/>
    <w:link w:val="2"/>
    <w:semiHidden/>
    <w:qFormat/>
    <w:uiPriority w:val="9"/>
    <w:rPr>
      <w:rFonts w:asciiTheme="majorHAnsi" w:hAnsiTheme="majorHAnsi" w:eastAsiaTheme="majorEastAsia" w:cstheme="majorBidi"/>
      <w:b/>
      <w:bCs/>
      <w:sz w:val="24"/>
      <w:szCs w:val="24"/>
    </w:rPr>
  </w:style>
  <w:style w:type="character" w:customStyle="1" w:styleId="13">
    <w:name w:val="标题 6 Char1"/>
    <w:link w:val="2"/>
    <w:uiPriority w:val="9"/>
    <w:rPr>
      <w:rFonts w:ascii="Cambria" w:hAnsi="Cambria" w:eastAsia="宋体"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30</Pages>
  <Words>1836</Words>
  <Characters>10468</Characters>
  <Lines>87</Lines>
  <Paragraphs>24</Paragraphs>
  <TotalTime>0</TotalTime>
  <ScaleCrop>false</ScaleCrop>
  <LinksUpToDate>false</LinksUpToDate>
  <CharactersWithSpaces>12280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2024-01-19T00:26:00Z</dcterms:created>
  <dc:creator>glm</dc:creator>
  <cp:lastModifiedBy>郭晓燕</cp:lastModifiedBy>
  <dcterms:modified xsi:type="dcterms:W3CDTF">2024-08-22T08:40:21Z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