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2023年市级文物保护专项经费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福州市财政局 福州市文物局关于下达2023年度市级文物保护专项经费的通知（榕财教〔2023〕81号）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完成汇丰银行福州分行旧址保护修缮工作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40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低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2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1)文物保护修缮数量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1)按期完成率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1)使文物历史价值得以延续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绩效评价个性指标体系不完善。年初上报绩效目标时，绩效评价个性指标不够完善，个性指标未能全面体现项目效果。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我局已委托编制汇丰银行福州分行旧址保护修缮方案上报省文物局，目前方案已完成修改并再次报送省文物局审批。根据设计合同规定，由于保护方案未通过省局审批，故设计费暂未支付。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应逐步完善项目绩效个性指标体系。今后在期初制定预算目标时，应充分理解项目的中长期规划及近期目标，结合项目的特点，全面设定能充分体现项目效果的个性指标。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待保护方案通过审核，根据设计合同规定支付设计费，并开展后续修缮工作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