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图书馆业务经费（含水电、设备及服务经费）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图书馆工作经费（含水电）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更新和维护图书馆的基础设施，为读者提供更舒适、更便捷的阅读环境，提升服务水平和质量，满足广大读者的阅读需求。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87.92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7.64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1)周累计开馆服务时间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7.64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7.64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74.38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由于区财政资金紧张，图书馆业务开支相关款项未能及时完成支付。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根据年初预算提前做好用款计划，跟进用款支付进度，及时支付资金。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