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非物质文化遗产专项经费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非物质文化遗产专项经费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致力于做好非物质文化遗产的抢救、挖掘、保护和传承工作，健全和完善我区非物质文化遗产名录体系，并积极开展非遗保护传承宣传工作，加大宣传力度，推广普及非遗文化，全区非物质文化遗产保护和传承工作呈现良好发展态势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84.15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39.4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1)组织举办主题文艺活动数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合理安排2024年资金，提前做好用款计划，跟进用款支付进度，及时支付资金。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