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2022年全民健身活动和健身设施维修经费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2022年全民健身活动和健身设施维修经费，榕财教（指）〔2022〕54号。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增强人民体质、提高健康水平为目标，以满足人民群众日益增长的多元化健身需求为出发点和落脚点，以“落实二十大，一起来健身，奋发向未来”为主题，全面提升全民健身赛事活动品质，扎实推进后疫情时代科学文明健身，支持更多老年人、青少年等群体开展全民健身活动，推动全民健身与全民健康相融合，一起打造“幸福体育”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96.33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83.95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9.33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1)赛事活动数量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1)活动任务完成率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1)群众参与健身的积极性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分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