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“闽江之心”活动经费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“闽江之心”活动经费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开展30场闽江之心系列活动，丰富群众业余文化生活，为闽江之心南岸文化氛围再添新彩。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71.68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1)预算使用执行率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7.79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1)群众参与活动积极性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提前做好用款计划，跟进用款支付进度，及时支付资金，继续开展闽江之心系列活动，为“闽江之心”南岸文化氛围再添新彩。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