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2023年第四季度农村人居环境整治积分制工作经费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2023年第四季度农村人居环境整治积分制工作经费（政府50299部门30299）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2023年第四季度农村人居环境整治积分制工作经费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90.8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