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2023年第一季度农村人居环境整治积分制考核激励资金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2023年第一季度农村人居环境整治积分制考核激励资金（政府50299 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2023年第一季度农村人居环境整治积分制考核激励资金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