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医养结合和老年健康</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医养结合和老年健康，榕财社指[2023 ] 59号，政府性经济分类50502商品和服务支出，部门预算经济分类30299其他商品和服务支出。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为更好的开展医养结合和老年健康工作提供保障。</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60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12</w:t>
      </w:r>
      <w:r>
        <w:rPr>
          <w:rFonts w:ascii="仿宋" w:hAnsi="仿宋" w:cs="仿宋" w:eastAsia="仿宋"/>
          <w:sz w:val="32"/>
        </w:rPr>
        <w:t>，完成值</w:t>
      </w:r>
      <w:r>
        <w:rPr>
          <w:rFonts w:ascii="仿宋" w:hAnsi="仿宋" w:cs="仿宋" w:eastAsia="仿宋"/>
          <w:sz w:val="32"/>
        </w:rPr>
        <w:t>12</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1)宣传资料数量</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3000</w:t>
      </w:r>
      <w:r>
        <w:rPr>
          <w:rFonts w:ascii="仿宋" w:hAnsi="仿宋" w:cs="仿宋" w:eastAsia="仿宋"/>
          <w:sz w:val="32"/>
        </w:rPr>
        <w:t>，完成值</w:t>
      </w:r>
      <w:r>
        <w:rPr>
          <w:rFonts w:ascii="仿宋" w:hAnsi="仿宋" w:cs="仿宋" w:eastAsia="仿宋"/>
          <w:sz w:val="32"/>
        </w:rPr>
        <w:t>3000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80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1)开展各类关爱妇女儿童、服务妇女及家庭和谐系列活动参与人数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40</w:t>
      </w:r>
      <w:r>
        <w:rPr>
          <w:rFonts w:ascii="仿宋" w:hAnsi="仿宋" w:cs="仿宋" w:eastAsia="仿宋"/>
          <w:sz w:val="32"/>
        </w:rPr>
        <w:t>，完成值</w:t>
      </w:r>
      <w:r>
        <w:rPr>
          <w:rFonts w:ascii="仿宋" w:hAnsi="仿宋" w:cs="仿宋" w:eastAsia="仿宋"/>
          <w:sz w:val="32"/>
        </w:rPr>
        <w:t>40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80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基层医疗机构乡镇卫生院当年度暂未列支医养结合和老年健康相关支出。</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建议基层医疗机构乡镇卫生院尽快开展列支医养结合和老年健康相关支出。</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