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2023年第二季度农村人居环境整治积分制考核激励资金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2023年第二季度农村人居环境整治积分制考核激励资金（政府50299，部门30299）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2023年第二季度农村人居环境整治积分制考核激励资金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