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2022年艾滋病、梅毒、乙肝母婴阻断经费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2022年艾滋病、梅毒、乙肝母婴阻断经费〔仓妇幼院〔2023〕21号〕，政府经济分类50299其他商品和服务支出，部门经济分类30299其他商品服务支出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进行艾滋病、梅毒、乙肝母婴阻断工作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重大公卫人员人手不够，大部分由医生行政兼职待办公卫事项，导致无法更好深入的开展重大公卫工作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增加单位编制数，加强重大公卫人员的培训，提高重大公卫人员素质，更好的服务公卫项目。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