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使用诊间结算系统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1)完成任务目标数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诊间结算系统造价较高，财政紧张难以支付，基层医疗机构难以负担，建议降低结算标准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财力紧张，诊间结算系统调试完成，资金报销结算时财政已停止支付，故无法支出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诊间结算系统造价较高，财政紧张难以支付，基层医疗机构难以负担，建议降低结算标准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财力紧张，诊间结算系统调试完成，资金报销结算时财政已停止支付，故无法支出，建议结转本年度继续支付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