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省级低收入群体居住环境消防安全提升工程专项资金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省级低收入群体居住环境消防安全提升工程专项资金（政府50299，部门30299）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省级低收入群体居住环境消防安全提升工程专项资金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70.27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0.27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