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2023年基层医疗机构全科医生岗位补助（区级）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2023年基层医疗机构全科医生岗位补助（区级），政府经济分类30199其他工资福利支出，部门经济分类50199其他工资福利支出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发放全科医生岗位补助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56.54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1)国库集中支付业务金额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8.64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本年度未完成全科医师岗位补助发放，无法具体发放补贴，进度过于缓慢，导致无法完成此项工作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财力紧张，计划开支时已经截止支付，导致资金无法使用，不能更好的发放全科医师补助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建议本年度提早发放全科医师岗位补助，加强人员跟进该部分工作，争取明年此项任务有所完成。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财力紧张，提早下达全科医生补助，加快资金支出时间，更好的发放全科医师补助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