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2023年上半年艾滋病、梅毒、乙肝母婴阻断经费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2023年上半年艾滋病、梅毒、乙肝母婴阻断经费〔仓妇幼院〔2023〕21号〕，政府经济分类50299其他商品和服务支出，部门经济分类30299其他商品服务支出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进行艾滋病、梅毒、乙肝母婴阻断工作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重大公卫人员人手不够，大部分由医生行政兼职待办公卫事项，导致无法更好深入的开展重大公卫工作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增加单位编制数，加强重大公卫人员的培训，提高重大公卫人员素质，更好的服务公卫项目。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