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数字经济发展专项资金（第二批市县部分）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用于园区数字化建设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38.62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1)法律顾问合同把关份数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1)预算与决算网络公开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2)单位正常运转率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