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2022年促进开发区发展专项资金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2022年促进开发区发展省级专项资金110万元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用于支持开发区创新发展机制、扩大招商、加大环保投入和闽台经贸公共服务平台建设提升，实现规模以上工业总产值500亿元以上，税收超10亿元。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1)完成考核数量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2)服务企业数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1)规模以上工业总产值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2)税收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1)联系企业次数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