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2022年下半年省级利用外资专项资金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鼓励企业积极利用扶持政策，稳定投资生产，促进增资扩产；推动招商引资工作发挥积极作用，促进利用外资保持稳定增长。’（政府预算经济分类50799，部门预算经济分类31299）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认真贯彻省级外资政策，动员企业外资到资，促进我区利用外资保持稳定增长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1)利用外资项目奖励投入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70.59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70.59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1)外资大项目增加到资额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7059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7059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