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2021省级夜间经济项目资金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支持各地大力发展夜间经济，立足本地特色，积极建设打造一批布局合理、管理规范、特色鲜明、功能完善的夜间经济示范区，创建一批发挥示范引领作用的夜间经济示范店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仓山万达获评省级夜间经济示范区，20家商户获评省级夜间经济示范店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57.89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1)省级夜间经济示范区数量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 （补助、补贴）对象与依据文件吻合度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1)省级夜间经济示范店数量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因区级财力不足，导致资金无法及时下达，部分商户注销、撤场，或无法提供有效账户。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建议财政做好资金统筹分配用于相关政策兑现，提高资金使用效益。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