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2017年度鼓励利用外资专项补助资金区级配套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鼓励企业积极利用扶持政策，稳定投资生产，促进增资扩产；推动招商引资工作发挥积极作用，促进利用外资保持稳定增长。（政府预算经济分类50799，部门预算经济分类31299）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认真贯彻市级外资政策，动员企业外资到资，促进我区利用外资保持稳定增长，已拨付给企业。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1)利用外资项目奖励投入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60.7894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60.789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1)外资大项目增加到资额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21587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21587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