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2022年省级商务区域协调发展项目资金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推进区域商务流通产业补短板、强链条，鼓励二手汽车销售，促进商贸服务业稳增长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推进区域商务流通产业补短板、强链条，鼓励二手汽车销售，促进商贸服务业稳增长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1)新能源汽车、二手车汽车企业合计数量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1)补助资金发放及时率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1)限额以上新能源汽车、二手车汽车零售额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59.68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因财政资金紧张，暂无法及时兑现企业补助，预算执行力度低下，绩效评分较低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希望财政能够做好资金统筹分配用于相关政策兑现，提高资金使用效益；并加强与财政沟通协调，提高预算资金执行力度，保证国家惠企、惠民政策落到实处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