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“八闽美食嘉年华”活动资金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通过举办八闽美食嘉年华活动，促进餐饮市场的繁荣，拉动餐饮消费的增长（政府预算经济分类50205，部门预算经济分类30227）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已完成相关活动开展，通过举办八闽美食嘉年华活动，促进餐饮市场的繁荣，拉动餐饮消费的增长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1)参加企业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2)场地面积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1)摊位数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1)餐饮消费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141.1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1)媒体宣传数量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1)参加企业满意率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在活动举办结束后，该项目的专项资金未能及时拨付至项目执行单位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合理安排项目序时进度，在项目结束后及时开展审计工作，加快资金兑现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