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油品抽检</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根据《福建省商务厅等六部门关于印发福建省规范企业内设加油站点的监管工作实施意见的通知》加强对企业内设加油站点的监管，严禁内设加油站点擅自对外经营，严禁使用不合格油品。</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根据《福建省商务厅等六部门关于印发福建省规范企业内设加油站点的监管工作实施意见的通知》加强对企业内设加油站点的监管，严禁内设加油站点擅自对外经营，严禁使用不合格油品。</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83.62</w:t>
      </w:r>
      <w:r>
        <w:rPr>
          <w:rFonts w:ascii="仿宋_GB2312" w:hAnsi="仿宋_GB2312" w:cs="仿宋_GB2312" w:eastAsia="仿宋_GB2312"/>
          <w:sz w:val="32"/>
        </w:rPr>
        <w:t>分，等级为</w:t>
      </w:r>
      <w:r>
        <w:rPr>
          <w:rFonts w:ascii="仿宋_GB2312" w:hAnsi="仿宋_GB2312" w:cs="仿宋_GB2312" w:eastAsia="仿宋_GB2312"/>
          <w:sz w:val="32"/>
        </w:rPr>
        <w:t>良</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5</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32.6</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3.62</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1)油品抽检次数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2</w:t>
      </w:r>
      <w:r>
        <w:rPr>
          <w:rFonts w:ascii="仿宋" w:hAnsi="仿宋" w:cs="仿宋" w:eastAsia="仿宋"/>
          <w:sz w:val="32"/>
        </w:rPr>
        <w:t>，完成值</w:t>
      </w:r>
      <w:r>
        <w:rPr>
          <w:rFonts w:ascii="仿宋" w:hAnsi="仿宋" w:cs="仿宋" w:eastAsia="仿宋"/>
          <w:sz w:val="32"/>
        </w:rPr>
        <w:t>2</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1)资金拨付（下达、结算）及时率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1)工作完成率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1)服务对象投诉次数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7EA6DD7C"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项目临时发生变化，监管加油站点减少，且市有统一监管，开展油品抽检，导致资金有盈余，预算执行率较低</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1B0C53BB"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建议在计划变更后，及时反馈，并调整资金使用用途，提高资金使用效益</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