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2020年促进批发业稳定发展奖补资金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积极推动我市商贸批发业健康快速发展，促进批发企业克服疫情影响拓展市场。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积极推动我市商贸批发业健康快速发展，促进批发企业克服疫情影响拓展市场。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1)奖补企业批发销售额增速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20.86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