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2023年现代物流业发展专项资金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项目实施后，预计将带动社会资金投入，扶持建成一批现代物流业项目（政府预算经济分类50799，部门预算经济分类31299）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项目实施后，预计将带动社会资金投入，扶持建成一批现代物流业项目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50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34.47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1)奖励（补助、补贴）对象与依据文件吻合度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1)带动企业项目资金投入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259.7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因财政资金紧张，暂无法及时兑现企业补助，预算执行力度低下，绩效评分较低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因经济等问题，财政库款紧张，资金未及时发放，无法及时兑现企业补助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加强与财政沟通协调，提高预算资金执行力度，保证国家惠企、惠民政策落到实处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希望财政能够做好资金统筹分配用于相关政策兑现，提高资金使用效益。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