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2022年老字号创新发展项目专项资金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推进“大众茶馆”试点项目建设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2022老字号创新发展项目专项资金工作，补助3家企业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1)奖补标准执行准确率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1)新增老字号企业旗舰店、体验店数量和参加展会展销的企业数量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