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2023年福州商业品牌首店入驻示范街区奖励资金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推动商业品牌首店入驻示范步行街区，推动商业品牌首店聚集发展，提升示范街区商业品质，提振街区人气，促进消费升级（政府预算经济分类50799，部门预算经济分类31299）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在省级步行街烟台山商业漫步街区引入好利来、臻庭酒店等两家首店。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50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1)受益商圈、步行街数量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1)新增商业品牌首店数量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资金文件下达时间过晚，导致无法及时开展相关资金兑现工作，暂无法完成绩效目标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 我区财力紧张，导致暂无资金可下达，无法兑现相关企业补助，预算执行力低，无法完成相关绩效目标。 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建议绩效自评能够优化，针对这类问题的项目，可下年再开展绩效自评，提高工作效益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建议财政能够统筹分配资金用于及时兑现相关政策，从而提高预算执行率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