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2023年第二批“菜篮子”工程建设专项资金（蔬菜基地管理费、管理员工资等）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用于蔬菜基地管理、支付管理员工资及奖金、购买蔬菜农残检测设备及试剂、菜农培训等，推动“菜篮子”工程建设工作（3万 政府预算经济分类50205，部门预算经济分类30227）（2.9万 政府预算经济分类50299，部门预算经济分类30299）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用于蔬菜基地管理、支付管理员工资及奖金、购买蔬菜农残检测设备及试剂、菜农培训等，推动“菜篮子”工程建设工作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1)聘请蔬菜安全生产管理员数量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1)资金兑现及时率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1)蔬菜基地管理覆盖面积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897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由于我区财力紧张，导致无法及时兑现相关企业补助，预算执行率低。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建议财政能够做好资金的统筹分配，及时兑现相关政策，提高预算执行率。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