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省级核定2022年利用外资项目第二批奖励资金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支持区积极有效利用外资，优化利用外资载体平台，创新招商引资方式，促进外资高质量发展（政府预算经济分类50299，部门预算经济分类30299）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给予区商务局的正向奖励资金，用于招商引资工作，促进外资发展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1)举办招商引资活动数量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1)资金结算（拨付、下达、发放）准确率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1)资金下达及时率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1)对接招商项目数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1)企业满意度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因经济等原因，财政库款紧张，提前关账，导致无资金可下达，预算执行力度低下，绩效评分较低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继续加强与财政沟通协调，提高预算资金执行力度，保证国家惠企、惠民政策落到实处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