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提前下达2023年中央文化产业发展专项资金（推动对外文化贸易发展项目）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1.加大文化产品服务的开发与投入。</w:t>
        <w:cr/>
        <w:t>2.扩大文化服务出口，提高企业国际市场营销能力，建立更多适合企业特点的营销网络，不断拓展营销渠道。</w:t>
        <w:cr/>
        <w:t>3.文化服务出口超过1200万美元</w:t>
        <w:cr/>
        <w:t>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1.加大文化产品服务的开发与投入。</w:t>
        <w:cr/>
        <w:t>2.扩大文化服务出口，提高企业国际市场营销能力，建立更多适合企业特点的营销网络，不断拓展营销渠道。</w:t>
        <w:cr/>
        <w:t>3.文化服务出口超过1200万美元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81.95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1)企业文化服务出口成本的降低情况（%）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1)文化服务出口额（万美元）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万美元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3337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2658.58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11.95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2)文化服务出口目的国（地区）数（个）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1)文化服务出口项目年投入产出比（%）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1)文化服务出口项目利润额（万美元）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万美元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1471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2)文化服务出口项目利润率（%）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1)企业把握政治导向和文化方向情况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1为好，0为中，-1为差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2)推动中华文化走出去方面发挥的作用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1为显著，0为不显著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1)文化服务出口对象的满意度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我区财力紧张，资金未及时发放，无法提前做好协调工作，无法及时兑现企业补助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建议财政能够做好资金的统筹分配，及时兑现相关政策，提高预算执行率，保证国家惠企、惠民政策落到实处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