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2020年度促进平台经济发展若干措施奖励资金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深入贯彻落实“3820”战略工程思想精髓，坚持扶引龙头、培育大集群、发展大产业，持续推进平台经济发展，进一步壮大平台经济规模，推动我市经济高质量发展。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为深入贯彻落实“3820”战略工程思想精髓，坚持扶引龙头、培育大集群、发展大产业，持续推进平台经济发展，进一步壮大平台经济规模，推动我市经济高质量发展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1)奖补资金发放合规率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1)平台销售额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亿元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307.7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因财政资金紧张，暂无法及时兑现企业补助，导致预算执行力度低下，绩效评分较低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核拨企业宝宝巴士与畅玩网络申报年份因业务刚起步，平台的销售额较低。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加强与财政沟通协调，提高预算资金执行力度，保证国家惠企、惠民政策落到实处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建议企业发挥自身优势，持续深耕行业，继续做大做强，提高市场竞争力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