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2022年度福州市推动家政服务业高质量发展资金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推动家政服务业高质量发展（政府预算经济分类50799，部门预算经济分类31299）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推动家政服务业高质量发展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1)培育员工制企业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财政库款紧张，导致无资金可下达，预算执行力度低下，绩效评分较低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因经济等问题，财政库款紧张，资金未及时发放，无法及时兑现企业补助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希望财政能够做好资金统筹分配工作，用于相关政策兑现，提高资金使用效益。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