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2020年度福州市利用外资专项资金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鼓励企业积极利用扶持政策，稳定投资生产，促进增资扩产；推动招商引资工作发挥积极作用，促进利用外资保持稳定增长。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给予仓山区商务局的奖励资金，以推动招商引资工作发挥积极作用，用于往年未兑现的区级配套资金，由于区级财力不足，暂未兑付给企业。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9.84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1)举办招商引资活动数量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1)对接招商项目数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