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2022年现代物流业发展专项资金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项目实施后，预计将带动社会资金投入，扶持建成一批现代物流业项目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项目实施后，预计将带动社会资金投入，扶持建成一批现代物流业项目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1)带动企业项目资金投入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259.7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2)企业投诉次数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