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2022年福州市利用外资专项资金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鼓励企业积极利用扶持政策，稳定投资生产，促进增资扩产；推动招商引资工作发挥积极作用，促进利用外资保持稳定增长（政府预算经济分类50799，部门预算经济分类31299）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认真贯彻市级外资政策，动员企业外资到资，促进我区利用外资保持稳定增长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1)利用外资项目奖励投入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52.945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52.945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1)外资大项目增加到资额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7059.47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7059.47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因财政库款紧张，导致无资金可下达，预算执行力度低下，绩效评分较低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因资金未及时发放，无法提前做好协调工作，无法及时兑现企业补助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希望财政能有足够资金统筹分配用于相关政策兑现，提高资金使用效益。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