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“惠聚仓山·畅享福品”2023年新车第一批购车补贴活动经费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推进区域商务流通产业补短板、强链条，鼓励二手汽车销售，促进商贸服务业稳增长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推进区域商务流通产业补短板、强链条，鼓励汽车销售，促进商贸服务业稳增长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50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2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1)发放补贴人数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1)奖补资金发放合规率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1)特斯拉汽车销售服务（福州）有限公司2023年销售额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亿元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23.26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1)消费者满意度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因经济等问题，财政库款紧张，资金未及时发放，无法及时兑现企业补助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因财政资金紧张，暂无法及时兑现企业补助，导致预算执行力度低下，绩效评分较低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建议财政能够做好资金统筹分配用于相关政策兑现，提高资金使用效益。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加强与财政沟通协调，提高预算资金执行力度，保证国家惠企、惠民政策落到实处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