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2022年省级冷链物流补助资金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力争通过扶持一批冷链项目，有效减少农产品产后损失和食品流通浪费，扩大冷链物流服务网络覆盖面，提高冷链惠民水平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力争通过扶持一批冷链项目，有效减少农产品产后损失和食品流通浪费，扩大冷链物流服务网络覆盖面，提高冷链惠民水平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1)奖励（补助、补贴）对象与依据文件吻合度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1)新增冷库库容量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立方米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7158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