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城市一刻钟便民生活圈专项资金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该项目因疫情等原因，未及时申报，退回财政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1)新增或改造便民网点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1)工作亮点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该项目因疫情等原因，未及时申报，已沟通退回财政，因市财政未下达相关文件，故资金暂未处理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相关资金暂未申报，资金已提前下达，导致实际与计划有偏差，资金无法兑现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建议相关单位能够根据实际情况，及时收回相关资金指标，避免指标占用，便于提高资金使用效益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建议能够按照申报结果下达相关指标资金，避免指标占用，便于提高资金使用效益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