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2022年度新春促消费暨社零增长市级奖补资金区级配套资金（康佰家）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进一步“惠聚榕城·乐购有福”暨“福虎网上年货节”新春促消费活动成效，助力2022年第一季度社零“开门红”，支持批零住餐企业积极开展新春促消费活动。（政府预算经济分类50799，部门预算经济分类31299）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进一步“惠聚榕城·乐购有福”暨“福虎网上年货节”新春促消费活动成效，助力2022年第一季度社零“开门红”，支持批零住餐企业积极开展新春促消费活动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1)奖励企业数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1)资金结算（拨付、下达、发放）准确率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 xml:space="preserve">1)资金下达及时性 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1)康佰家零售额增速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368.6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1)服务对象投诉次数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