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2022年省级农产品交易市场建设项目补助资金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鼓励农产品交易市场通过改造改善市场形象，改善购物环境，提升食品安全，进一步扩大经营规模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鼓励农产品交易市场通过改造改善市场形象，改善购物环境，提升食品安全，进一步扩大经营规模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1)奖补资金发放合规率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1)资金下达及时率 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1)改造市场面积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