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2021年度福州市利用外资专项资金区级配套资金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鼓励企业积极利用扶持政策，稳定投资生产，促进增资扩产；推动招商引资工作发挥积极作用，促进利用外资保持稳定增长。（政府预算经济分类50799，部门预算经济分类31299）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认真贯彻市级外资政策，动员企业外资到资，促进我区利用外资保持稳定增长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60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1)利用外资项目奖励投入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33.43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1)资金结算（拨付、下达、发放）准确率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1)外资大项目增加到资额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4457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4457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因区级财力不足，导致无资金可下达，预算执行力度低下，绩效评分较低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建议财政做好资金统筹分配用于相关政策兑现，提高资金使用效益。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