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2022年省级利用外资正向激励奖励资金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支持区积极有效利用外资，优化利用外资载体平台，创新招商引资方式，促进外资高质量发展（政府预算经济分类50299，部门预算经济分类30299）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给予区商务局的正向奖励资金，用于招商引资工作，促进外资发展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1)举办招商引资活动数量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1)对接招商项目数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 给予区商务局的正向奖励资金，拟用于往年外资企业相关区级配套补助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建议尽快做好资金统筹分配用于相关政策兑现，提高资金使用效益。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