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*招商业务经费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梁批（转）144016号，用于招商引资工作日常支出。</w:t>
        <w:cr/>
        <w:t>其中1.招商办50万元，根据福州市每年招商行动方案要求，招商工作为我区重点工作，为高效服务、保障全区日常招商引资以及区领导考察工作，区招商办需负责做好相关宣传物料印制、宣传视频制作、招商活动举办、企业客商接待、外出招商考察等服务保障工作，以上需专项经费予以支持。</w:t>
        <w:cr/>
        <w:t>2.商务局30万，我局主要用于98投洽会、上海世博会、外商招商考察、企业客商接待等招商引资工作支出，协同区共同完成招商项目落地，达成年度计划常规项目任务指标。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根据“项目攻坚增效年”工作部署，以招商落地深化攻坚行动为抓手，进口目标任务，积极谋划、推动项目落地工作，完成招商任务。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95.56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81.3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8.56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1)2023年度“走出去”招商次数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