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2022年度新春促消费暨社零增长市级奖补资金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进一步提升“惠聚榕城·乐购有福”暨“福虎网上年货节”新春促消费活动成效，助力2022年第一季度社零“开门红”，支持批零住宿企业积极开展新春促消费活动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进一步提升“惠聚榕城·乐购有福”暨“福虎网上年货节”新春促消费活动成效，助力2022年第一季度社零“开门红”，支持批零住宿企业积极开展新春促消费活动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1)资金下达及时性 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1)社会消费品零售总额增速与全省的比值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