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孙秀蓉返聘经费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因工作需要，我局对孙秀蓉进行返聘，聘用于商务窗口工作人员，其工资待遇参照我区编外人员（除去“五险一金”）标准。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因工作需要，我局对孙秀蓉进行返聘，聘用于商务窗口工作人员，其工资待遇参照我区编外人员（除去“五险一金”）标准。完成日常的外资企业年报审核等工作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1)外资企业年报审核件数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1)行政中心日平均受理业务量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 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1为优秀，其他为0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因工资奖金制度改革等原因，预算与实际支出有所区别，导致返聘人员工资支出减低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建议可以按照实际工资奖金结构情况，及时调整预算，提高预算资金使用效益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