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2022年第二批“菜篮子”工程建设专项资金（蔬菜基地管理费、管理员工资等）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用于蔬菜基地管理、支付管理员工及奖金、购买蔬菜农残检测设备及试剂、菜农培训等，推动“菜篮子”工程建设工作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用于蔬菜基地管理、支付管理员工及奖金、购买蔬菜农残检测设备及试剂、菜农培训等，推动“菜篮子”工程建设工作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1)聘请蔬菜安全生产管理员数量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1)资金下达及时性 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1)蔬菜基地管理覆盖面积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897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由于我区财力紧张，导致无法及时兑现相关企业补助，预算执行率低。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我区财力紧张，资金未及时发放，无法提前做好协调工作，无法及时兑现企业补助 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建议财政能够做好资金的统筹分配，及时兑现相关政策，提高预算执行率。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加强与财政沟通协调，提高预算资金执行力度，保证国家惠企、惠民政策落到实处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