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2022年11、12月批发业资金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为帮助批发企业克服疫情影响，推动批发业企业持续做优做强，促进商贸行业固稳提质（政府预算经济分类50799，部门预算经济分类31299）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为帮助批发企业克服疫情影响，推动批发业企业持续做优做强，促进商贸行业固稳提质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1)奖补资金发放合规率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1)企业2022年11或12月当月纳统销售额增量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因财政资金紧张，暂无法及时兑现企业补助，导致预算执行力度低下，绩效评分较低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