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2023年省级农产品交易市场建设项目财政补助资金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鼓励农产品交易市场通过改造改善市场形象，改善购物环境，提升食品安全，进一步扩大经营规模。（政府预算经济分类50799，部门预算经济分类31299）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鼓励农产品交易市场通过改造改善市场形象，改善购物环境，提升食品安全，进一步扩大经营规模。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1)资金下达及时率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1)改造市场面积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4333.48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1)服务对象对项目的满意度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由于我区财力紧张，导致无法及时兑现相关企业补助，预算执行率低。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我区财力紧张，资金未及时发放，无法提前做好协调工作，无法及时兑现企业补助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建议财政能够做好资金的统筹分配，及时兑现相关政策，提高预算执行率。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