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基本公共卫生服务补助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基本公共卫生服务补助，经济分类30299其他商品服务支出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应上级要求优先支出直达资金，该专项经费为上年结转，故暂未支出。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75.12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1)组织宣传活动次数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0.12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2)活动共参与人数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2950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应上级要求优先支出直达资金，该专项经费为上年结转，故暂未支出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组织宣传活动一栏系统目标值有误，原目标值为20次/年，已达标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合理分配每笔公卫资金的支出比例并制定支出计划，提高公卫资金支出率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严格审核每年年初填报的绩效目标值，避免出现类似的情况导致评分降低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