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（直达资金）职业病防治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年终结转结余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福州市2023年工作场所职业病危害因素检测技术方案要求圆满完成了2023年职业病危害因素监测任务，掌握了我去重点行职业危害现状，以及不同用人单位工作场所中职业危害因素分布和浓度，为职业病防治工作制定政策、完善法律标准提供依据和支撑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85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1)重点职业病突发公共卫生事件数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1)重点职业病监测企业完成数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1)重点职业病监测企业监测项目合格率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1)及时率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1)监测企业职业病危害申报率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54.16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1)新发尘肺病病例数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1)投诉量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（直达资金）职业病防治项目经费余额用款时间较久，支出率偏低。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委托业务实际每例价格比经费下达时单价低，剩余余款在后续中还形成开支，需探讨支出用途加强开支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