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区级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2023年重大传染病防控1</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《福州市财政局 福州市卫生健康委员会关于下达2023年卫生健康转移支付省级补助资金（第二批）的通知》（榕财社（指）[2023]33号），支出功能分类2100409重大公共卫生服务，部门经济分类302商品和服务支出，政府经济分类50502商品和服务支出</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2023年在治病人的治疗率和随访检测率均超过目标值。进一步遏制了艾滋病疫情的传播。2023年结核病防治管理对活动性结核患者72小时内完成第一次入户随访率以及病原学阳性肺结核患者密切接触者筛查率都能按预期完成，有效且规范化对活动性结核患者进行管理，减少结核病进一步传播流行。</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90</w:t>
      </w:r>
      <w:r>
        <w:rPr>
          <w:rFonts w:ascii="仿宋_GB2312" w:hAnsi="仿宋_GB2312" w:cs="仿宋_GB2312" w:eastAsia="仿宋_GB2312"/>
          <w:sz w:val="32"/>
        </w:rPr>
        <w:t>分，等级为</w:t>
      </w:r>
      <w:r>
        <w:rPr>
          <w:rFonts w:ascii="仿宋_GB2312" w:hAnsi="仿宋_GB2312" w:cs="仿宋_GB2312" w:eastAsia="仿宋_GB2312"/>
          <w:sz w:val="32"/>
        </w:rPr>
        <w:t>优</w:t>
      </w:r>
      <w:r>
        <w:rPr>
          <w:rFonts w:ascii="仿宋_GB2312" w:hAnsi="仿宋_GB2312" w:cs="仿宋_GB2312" w:eastAsia="仿宋_GB2312"/>
          <w:sz w:val="32"/>
        </w:rPr>
        <w:t>，设置绩效目标</w:t>
      </w:r>
      <w:r>
        <w:rPr>
          <w:rFonts w:ascii="仿宋_GB2312" w:hAnsi="仿宋_GB2312" w:cs="仿宋_GB2312" w:eastAsia="仿宋_GB2312"/>
          <w:sz w:val="32"/>
        </w:rPr>
        <w:t>7</w:t>
      </w:r>
      <w:r>
        <w:rPr>
          <w:rFonts w:ascii="仿宋_GB2312" w:hAnsi="仿宋_GB2312" w:cs="仿宋_GB2312" w:eastAsia="仿宋_GB2312"/>
          <w:sz w:val="32"/>
        </w:rPr>
        <w:t>个，实际完成</w:t>
      </w:r>
      <w:r>
        <w:rPr>
          <w:rFonts w:ascii="仿宋_GB2312" w:hAnsi="仿宋_GB2312" w:cs="仿宋_GB2312" w:eastAsia="仿宋_GB2312"/>
          <w:sz w:val="32"/>
        </w:rPr>
        <w:t>7</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1)配套资金到位率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5</w:t>
      </w:r>
      <w:r>
        <w:rPr>
          <w:rFonts w:ascii="仿宋" w:hAnsi="仿宋" w:cs="仿宋" w:eastAsia="仿宋"/>
          <w:sz w:val="32"/>
        </w:rPr>
        <w:t>，得分</w:t>
      </w:r>
      <w:r>
        <w:rPr>
          <w:rFonts w:ascii="仿宋" w:hAnsi="仿宋" w:cs="仿宋" w:eastAsia="仿宋"/>
          <w:sz w:val="32"/>
        </w:rPr>
        <w:t>5</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1)病原学阳性肺结核患者的密切接触者筛查率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91.2</w:t>
      </w:r>
      <w:r>
        <w:rPr>
          <w:rFonts w:ascii="仿宋" w:hAnsi="仿宋" w:cs="仿宋" w:eastAsia="仿宋"/>
          <w:sz w:val="32"/>
        </w:rPr>
        <w:t>，分值</w:t>
      </w:r>
      <w:r>
        <w:rPr>
          <w:rFonts w:ascii="仿宋" w:hAnsi="仿宋" w:cs="仿宋" w:eastAsia="仿宋"/>
          <w:sz w:val="32"/>
        </w:rPr>
        <w:t>5</w:t>
      </w:r>
      <w:r>
        <w:rPr>
          <w:rFonts w:ascii="仿宋" w:hAnsi="仿宋" w:cs="仿宋" w:eastAsia="仿宋"/>
          <w:sz w:val="32"/>
        </w:rPr>
        <w:t>，得分</w:t>
      </w:r>
      <w:r>
        <w:rPr>
          <w:rFonts w:ascii="仿宋" w:hAnsi="仿宋" w:cs="仿宋" w:eastAsia="仿宋"/>
          <w:sz w:val="32"/>
        </w:rPr>
        <w:t>5</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1)在访病人抗病毒治疗率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94</w:t>
      </w:r>
      <w:r>
        <w:rPr>
          <w:rFonts w:ascii="仿宋" w:hAnsi="仿宋" w:cs="仿宋" w:eastAsia="仿宋"/>
          <w:sz w:val="32"/>
        </w:rPr>
        <w:t>，完成值</w:t>
      </w:r>
      <w:r>
        <w:rPr>
          <w:rFonts w:ascii="仿宋" w:hAnsi="仿宋" w:cs="仿宋" w:eastAsia="仿宋"/>
          <w:sz w:val="32"/>
        </w:rPr>
        <w:t>95.7</w:t>
      </w:r>
      <w:r>
        <w:rPr>
          <w:rFonts w:ascii="仿宋" w:hAnsi="仿宋" w:cs="仿宋" w:eastAsia="仿宋"/>
          <w:sz w:val="32"/>
        </w:rPr>
        <w:t>，分值</w:t>
      </w:r>
      <w:r>
        <w:rPr>
          <w:rFonts w:ascii="仿宋" w:hAnsi="仿宋" w:cs="仿宋" w:eastAsia="仿宋"/>
          <w:sz w:val="32"/>
        </w:rPr>
        <w:t>14</w:t>
      </w:r>
      <w:r>
        <w:rPr>
          <w:rFonts w:ascii="仿宋" w:hAnsi="仿宋" w:cs="仿宋" w:eastAsia="仿宋"/>
          <w:sz w:val="32"/>
        </w:rPr>
        <w:t>，得分</w:t>
      </w:r>
      <w:r>
        <w:rPr>
          <w:rFonts w:ascii="仿宋" w:hAnsi="仿宋" w:cs="仿宋" w:eastAsia="仿宋"/>
          <w:sz w:val="32"/>
        </w:rPr>
        <w:t>14</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1)在访病人随访检测率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95.82</w:t>
      </w:r>
      <w:r>
        <w:rPr>
          <w:rFonts w:ascii="仿宋" w:hAnsi="仿宋" w:cs="仿宋" w:eastAsia="仿宋"/>
          <w:sz w:val="32"/>
        </w:rPr>
        <w:t>，分值</w:t>
      </w:r>
      <w:r>
        <w:rPr>
          <w:rFonts w:ascii="仿宋" w:hAnsi="仿宋" w:cs="仿宋" w:eastAsia="仿宋"/>
          <w:sz w:val="32"/>
        </w:rPr>
        <w:t>13</w:t>
      </w:r>
      <w:r>
        <w:rPr>
          <w:rFonts w:ascii="仿宋" w:hAnsi="仿宋" w:cs="仿宋" w:eastAsia="仿宋"/>
          <w:sz w:val="32"/>
        </w:rPr>
        <w:t>，得分</w:t>
      </w:r>
      <w:r>
        <w:rPr>
          <w:rFonts w:ascii="仿宋" w:hAnsi="仿宋" w:cs="仿宋" w:eastAsia="仿宋"/>
          <w:sz w:val="32"/>
        </w:rPr>
        <w:t>13</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1)72小时肺结核患者入户率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91.25</w:t>
      </w:r>
      <w:r>
        <w:rPr>
          <w:rFonts w:ascii="仿宋" w:hAnsi="仿宋" w:cs="仿宋" w:eastAsia="仿宋"/>
          <w:sz w:val="32"/>
        </w:rPr>
        <w:t>，分值</w:t>
      </w:r>
      <w:r>
        <w:rPr>
          <w:rFonts w:ascii="仿宋" w:hAnsi="仿宋" w:cs="仿宋" w:eastAsia="仿宋"/>
          <w:sz w:val="32"/>
        </w:rPr>
        <w:t>13</w:t>
      </w:r>
      <w:r>
        <w:rPr>
          <w:rFonts w:ascii="仿宋" w:hAnsi="仿宋" w:cs="仿宋" w:eastAsia="仿宋"/>
          <w:sz w:val="32"/>
        </w:rPr>
        <w:t>，得分</w:t>
      </w:r>
      <w:r>
        <w:rPr>
          <w:rFonts w:ascii="仿宋" w:hAnsi="仿宋" w:cs="仿宋" w:eastAsia="仿宋"/>
          <w:sz w:val="32"/>
        </w:rPr>
        <w:t>13</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1)男男干预任务完成率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30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1)服务对象投诉次数</w:t>
      </w:r>
      <w:r>
        <w:rPr>
          <w:rFonts w:ascii="仿宋" w:hAnsi="仿宋" w:cs="仿宋" w:eastAsia="仿宋"/>
          <w:sz w:val="32"/>
        </w:rPr>
        <w:t>(</w:t>
      </w:r>
      <w:r>
        <w:rPr>
          <w:rFonts w:ascii="仿宋" w:hAnsi="仿宋" w:cs="仿宋" w:eastAsia="仿宋"/>
          <w:sz w:val="32"/>
        </w:rPr>
        <w:t>次</w:t>
      </w:r>
      <w:r>
        <w:rPr>
          <w:rFonts w:ascii="仿宋" w:hAnsi="仿宋" w:cs="仿宋" w:eastAsia="仿宋"/>
          <w:sz w:val="32"/>
        </w:rPr>
        <w:t>)，目标值</w:t>
      </w:r>
      <w:r>
        <w:rPr>
          <w:rFonts w:ascii="仿宋" w:hAnsi="仿宋" w:cs="仿宋" w:eastAsia="仿宋"/>
          <w:sz w:val="32"/>
        </w:rPr>
        <w:t>10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