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（直达资金）2023年重点地方病防治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其他基本公共卫生服务，《福州市财政局 福州市卫生健康委员会关于下达2023年卫生健康转移支付省级补助资金（第二批）的通知》（榕财社（指）[2023]33号），支出功能分类2100408基本公共卫生服务，部门经济分类302商品和服务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对我区8-10岁儿童碘含量监测200人，监测孕妇重点人群碘含量监测100人，检测尿碘含量和家中食用盐碘含量，碘盐覆盖率和合格碘盐食用率均大于 95%。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1)了解我区居民碘营养水平和膳食碘摄入情况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1)我区居民碘盐标本监测数量碘含量分析结果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1)根据市疾控碘缺乏病监测统一部署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1)减少执行消除碘缺乏病规划行动造成政府经济损失。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1)消除我区碘缺乏病人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1)碘缺乏病人发生数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