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成本性支出1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新增调整经济科目使用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促进机构规范化建设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1)服务单位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本单位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本单位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本单位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1)促进妇幼机构规范化建设，提升妇幼健康服务能力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促进妇幼机构规范化建设，提升妇幼健康服务能力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促进妇幼机构规范化建设，提升妇幼健康服务能力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进妇幼机构规范化建设，提升妇幼健康服务能力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