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艾梅乙母婴阻断经费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根据榕财社（指）[2022]91号，下达母婴阻断工作经费及宣传、培训、指导能力建设等经费。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做好母婴阻断工作。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25.29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1)住院分娩率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现要求感染梅毒的孕产妇所生儿童随访时需留存医院体检资料，但部分随访儿童不去医院体检，且体检的医院可能不配合提供资料。 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孕妇在医院初次产前保健做艾梅乙检测后，未返回医院取检测报告，导致部分阳性孕妇无法填报阳性孕妇个案登记卡 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指定医院做感染梅毒孕产妇所生儿童的随访体检，医院按要求给随访儿童做梅毒相关检测并提供体检资料给妇幼存档。 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初次产前保健的孕妇到医院产检均应建立孕产妇系统管理档案，若发现阳性孕妇可从档案中提取基本信息填报阳性个案登记卡。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