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2023年基本公共卫生区级补助资金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2023年基本公共卫生区级补助资金  2100408 30299其他商品服务支出  仓卫基层【2023】43号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2023年基本公共卫生区级补助资金  2100408 30299其他商品服务支出  仓卫基层【2023】43号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1)传染病漏报率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1)免费体检人次数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6036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1)居民健康档案率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1)档案规范化管理率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