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（债券资金）卫生健康服务能力提升项目</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卫生健康服务能力提升项目债券资金，功能分类2100399其他基层医疗卫生机构支出，政府经济分类50601资本性支出（一）</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主要用于支付社区医院施工进度款及采买社区医院建设所需的设备等。</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10</w:t>
      </w:r>
      <w:r>
        <w:rPr>
          <w:rFonts w:ascii="仿宋_GB2312" w:hAnsi="仿宋_GB2312" w:cs="仿宋_GB2312" w:eastAsia="仿宋_GB2312"/>
          <w:sz w:val="32"/>
        </w:rPr>
        <w:t>个，实际完成</w:t>
      </w:r>
      <w:r>
        <w:rPr>
          <w:rFonts w:ascii="仿宋_GB2312" w:hAnsi="仿宋_GB2312" w:cs="仿宋_GB2312" w:eastAsia="仿宋_GB2312"/>
          <w:sz w:val="32"/>
        </w:rPr>
        <w:t>10</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98.65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1)每职工年门诊人次</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1655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2)社区医院提升改造设备采购数量</w:t>
      </w:r>
      <w:r>
        <w:rPr>
          <w:rFonts w:ascii="仿宋" w:hAnsi="仿宋" w:cs="仿宋" w:eastAsia="仿宋"/>
          <w:sz w:val="32"/>
        </w:rPr>
        <w:t>(</w:t>
      </w:r>
      <w:r>
        <w:rPr>
          <w:rFonts w:ascii="仿宋" w:hAnsi="仿宋" w:cs="仿宋" w:eastAsia="仿宋"/>
          <w:sz w:val="32"/>
        </w:rPr>
        <w:t>台</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83</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1)社区医院提升改造工程竣工验收报告</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1)医院人均业务收入</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100000</w:t>
      </w:r>
      <w:r>
        <w:rPr>
          <w:rFonts w:ascii="仿宋" w:hAnsi="仿宋" w:cs="仿宋" w:eastAsia="仿宋"/>
          <w:sz w:val="32"/>
        </w:rPr>
        <w:t>，完成值</w:t>
      </w:r>
      <w:r>
        <w:rPr>
          <w:rFonts w:ascii="仿宋" w:hAnsi="仿宋" w:cs="仿宋" w:eastAsia="仿宋"/>
          <w:sz w:val="32"/>
        </w:rPr>
        <w:t>241972</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2)医院业务收入增长率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30.14</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