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2023年下半年药品零差率耗材补助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2023年下半年基层医疗卫生机构药品零差率耗材补助（仓卫基层〔2023〕55号）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进一步实施基层医疗卫生机构药品零差率政策，激励基层医疗单位工作积极性，更好的为辖区居民提供优质、满意的诊疗服务。全年门诊人次数大于55000人次，家庭医生签约覆盖率大于40%。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1)门诊诊疗人次数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1)老年人规范健康管理率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83.6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1)家庭医生签约服务覆盖率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