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2023年中医药发展专项经费3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2023年中医药发展专项经费3   （仓卫基层[2023]50号）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2023年中医药发展专项经费3   （仓卫基层[2023]50号） 商品和服务支出,为进一步推进我区中医药事业发展, 巩固“全国基层中医药工作先进单位”的成果,落实基层医疗机构中医馆提升建设工作,逐步提升基层医疗卫生机构中医药工作的优势,以便更好的为辖区居民提供中医药服务。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80.07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0.07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1)培养优秀中医临床人才数量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2)中医门急诊人次数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32912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1)0-36个月儿童中医药健康管理服务率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78.94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2023年中医药发展专项经费3,经费支出问题导致资金使用率较低，项目未完成.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