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区级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（直达资金）基本药物省级补助</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（直达资金）基本药物省级补助（闽财社指【2022】91号），功能分类2100399其他基层医疗卫生机构支出，政府经济分类50501商品和服务支出。</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按基本药物月采购计划在福建省药械联合限价阳光采购平台进行采购，对医务人员进行合理用药培训，定期开展药品使用检查，监督和指导药品合理使用。按照《药品不良反应报告和检测管理办法》开展药品不良反应或者群体不良事件报告、调查、评价和处理工作等。</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1)预算执行率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1)居民医保门诊就诊次数</w:t>
      </w:r>
      <w:r>
        <w:rPr>
          <w:rFonts w:ascii="仿宋" w:hAnsi="仿宋" w:cs="仿宋" w:eastAsia="仿宋"/>
          <w:sz w:val="32"/>
        </w:rPr>
        <w:t>(</w:t>
      </w:r>
      <w:r>
        <w:rPr>
          <w:rFonts w:ascii="仿宋" w:hAnsi="仿宋" w:cs="仿宋" w:eastAsia="仿宋"/>
          <w:sz w:val="32"/>
        </w:rPr>
        <w:t>人次</w:t>
      </w:r>
      <w:r>
        <w:rPr>
          <w:rFonts w:ascii="仿宋" w:hAnsi="仿宋" w:cs="仿宋" w:eastAsia="仿宋"/>
          <w:sz w:val="32"/>
        </w:rPr>
        <w:t>)，目标值</w:t>
      </w:r>
      <w:r>
        <w:rPr>
          <w:rFonts w:ascii="仿宋" w:hAnsi="仿宋" w:cs="仿宋" w:eastAsia="仿宋"/>
          <w:sz w:val="32"/>
        </w:rPr>
        <w:t>40000</w:t>
      </w:r>
      <w:r>
        <w:rPr>
          <w:rFonts w:ascii="仿宋" w:hAnsi="仿宋" w:cs="仿宋" w:eastAsia="仿宋"/>
          <w:sz w:val="32"/>
        </w:rPr>
        <w:t>，完成值</w:t>
      </w:r>
      <w:r>
        <w:rPr>
          <w:rFonts w:ascii="仿宋" w:hAnsi="仿宋" w:cs="仿宋" w:eastAsia="仿宋"/>
          <w:sz w:val="32"/>
        </w:rPr>
        <w:t>42101</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1)资金使用合规率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1)支付（结算）及时性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1)均次门诊医药费</w:t>
      </w:r>
      <w:r>
        <w:rPr>
          <w:rFonts w:ascii="仿宋" w:hAnsi="仿宋" w:cs="仿宋" w:eastAsia="仿宋"/>
          <w:sz w:val="32"/>
        </w:rPr>
        <w:t>(</w:t>
      </w:r>
      <w:r>
        <w:rPr>
          <w:rFonts w:ascii="仿宋" w:hAnsi="仿宋" w:cs="仿宋" w:eastAsia="仿宋"/>
          <w:sz w:val="32"/>
        </w:rPr>
        <w:t>元/人</w:t>
      </w:r>
      <w:r>
        <w:rPr>
          <w:rFonts w:ascii="仿宋" w:hAnsi="仿宋" w:cs="仿宋" w:eastAsia="仿宋"/>
          <w:sz w:val="32"/>
        </w:rPr>
        <w:t>)，目标值</w:t>
      </w:r>
      <w:r>
        <w:rPr>
          <w:rFonts w:ascii="仿宋" w:hAnsi="仿宋" w:cs="仿宋" w:eastAsia="仿宋"/>
          <w:sz w:val="32"/>
        </w:rPr>
        <w:t>150</w:t>
      </w:r>
      <w:r>
        <w:rPr>
          <w:rFonts w:ascii="仿宋" w:hAnsi="仿宋" w:cs="仿宋" w:eastAsia="仿宋"/>
          <w:sz w:val="32"/>
        </w:rPr>
        <w:t>，完成值</w:t>
      </w:r>
      <w:r>
        <w:rPr>
          <w:rFonts w:ascii="仿宋" w:hAnsi="仿宋" w:cs="仿宋" w:eastAsia="仿宋"/>
          <w:sz w:val="32"/>
        </w:rPr>
        <w:t>243</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1)患者满意度</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90</w:t>
      </w:r>
      <w:r>
        <w:rPr>
          <w:rFonts w:ascii="仿宋" w:hAnsi="仿宋" w:cs="仿宋" w:eastAsia="仿宋"/>
          <w:sz w:val="32"/>
        </w:rPr>
        <w:t>，完成值</w:t>
      </w:r>
      <w:r>
        <w:rPr>
          <w:rFonts w:ascii="仿宋" w:hAnsi="仿宋" w:cs="仿宋" w:eastAsia="仿宋"/>
          <w:sz w:val="32"/>
        </w:rPr>
        <w:t>98.25</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