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2023年基层医疗机构全科医生岗位区级补助资金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2023年基层医疗机构全科医生岗位补助资金（经济分类30199其他工资福利支出，支出功能分类2100399）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已按时发放上半年全科医补助资金1.66万元。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92.16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11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8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1)预算执行率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75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3.75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2)资金使用率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75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3.75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1)每职工年门诊人次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次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1800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1918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6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6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2)每千人口卫生技术人员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8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8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3)每千人口注册护士人数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0.2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0.33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8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8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4)每千人口执业（助理）医师人数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0.3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0.4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8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8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1)资金使用合规率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1)支付（结算）及时性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1)均次门诊医药费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元/人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210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225.39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2)药品占业务收入百分比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75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72.47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9.66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1)职工满意度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7EA6DD7C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2023年全科医生岗位区级补助资金余额5520元。下半年全科医生补助资金未支出。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1B0C53BB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2023年全科医生岗位区间补助资金余额5520元，及时支付2023年下半年全科医生补助资金。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