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2023年度卫健人才发展经费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2023年度卫健人才发展经费  2100399其他基层医疗机构支出，30199其他工资和福利支出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提高医疗机构的诊疗水平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1)全科岗位医生人数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因卫健人才发展经费资金紧身，未能在规定的时间内及时支付人才发展经费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确保卫健人才发展经费资金充足，能在规定的时间内及时支付人才发展经费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