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*2018年实验室建设经费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实验室能力建设已完成，到期验收支付尾款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1)实验室数量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1)实验室完成度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1)当年完成全部建设任务时间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1)可实现检测项目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项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