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登革热防控专项经费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登革热防控专项经费（仓登指【2023】1号）30299其他商品服务支出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有效预防和控制登革热传染病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1)消杀单价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元/平方米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1)补助街镇、区卫健局、区疾控中心数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1)成蚊密度下降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只/小时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1)布雷图指数下降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布雷指数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