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艾滋病母婴阻断等经费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年终结转结余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做好母婴阻断工作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1)服务机构数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1)当年使用完毕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当年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当年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当年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1)减少母婴传播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/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减少母婴传播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减少母婴传播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 xml:space="preserve">1)	</w:t>
        <w:cr/>
        <w:t>服务对象满意度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孕妇在医院初次产前保健做艾梅乙检测后，未返回医院取检测报告，导致部分阳性孕妇无法填报阳性孕妇个案登记卡。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现要求感染梅毒的孕产妇所生儿童随访时需留存医院体检资料，但部分随访儿童不去医院体检，且体检的医院可能不配合提供资料。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初次产前保健的孕妇到医院产检均应建立孕产妇系统管理档案，若发现阳性孕妇可从档案中提取基本信息填报阳性个案登记卡。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指定医院做感染梅毒孕产妇所生儿童的随访体检，医院按要求给随访儿童做梅毒相关检测并提供体检资料给妇幼存档。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