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（直达资金）基本公共卫生补助经费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（直达资金）基本公共卫生补助经费  榕财社（指）【2022】165号  经济分类2100408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电子健康档案建档率≥90%，儿童健康管理率≥90%，老年人健康管理率≥72%，高血压和2型糖尿病患者规范管理率≥76%，严重精神障碍患者规范管理率≥80%，肺结核患者管理率≥90%，中医药健康管理率≥65%。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1)居民规范化电子健康档案份数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69490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1)家庭医生签约率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36204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