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（直达资金）基本公共卫生省级补助经费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（直达资金）基本公共卫生省级补助经费        榕财社（指）【2023】33号       经济分类2100408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电子健康档案建档率≥90%，儿童健康管理率≥90%，老年人健康管理率≥72%，高血压和2型糖尿病患者规范管理率≥76%，严重精神障碍患者规范管理率≥80%，肺结核患者管理率≥90%，中医药健康管理率≥65%。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64690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1)2型糖尿病患者规范管理率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