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婴幼儿托育服务省级补助资金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榕财社指【2022】166号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2022年最终新增普惠托位数66个，并通过市级验收，共发放省级建设补助资金66万元。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1)普惠托位建设省级补助标准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元/托位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1)开展普惠托位建设个数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66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2)完成普惠托位建设总结报告份数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份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1)普惠托位建设达标率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百分比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1)2022年完成建设验收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月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1)2023年服务人数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百分比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89.39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1)家长满意度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百分比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