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消杀专项经费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消杀专项经费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达到国家病媒生物密度监测C级标准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1)每平方米消杀单价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1)年度完成消杀次数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2)开展爱国卫生月宣传活动次数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1)消杀达标率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1)外环境灭蚊蝇活动次数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