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2023年二类疫苗预防接种补助经费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2023年二类疫苗预防接种补助经费  仓卫财【2023】41号  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2023年二类疫苗预防接种补助经费  仓卫财【2023】41号  商品和服务支出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80.11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0.11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1)II类疫苗报废率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2)预防药物接种后发病率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二类疫苗预防接种补助经费支出问题，导致资金使用率较低，项目未完成.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项目绩效制定时应该考虑实际情况，合理制定目标，积极沟通，争取完成目标。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