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2023年妇幼健康（第二批）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榕财社（指）【2023】33号  关于下达2023年卫生健康转移支付省级补助资金（第二批）的通知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提升了妇幼健康服务能力。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86.37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6.37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1)服务区域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1个区域，仓山区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1)任务年度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1)保障妇女儿童健康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保障妇女儿童健康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保障妇女儿童健康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保障妇女儿童健康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当年度为及时付款。业务口收集数据需要时间、财政因为某些原因未及时完成支付。导致执行率低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建议业务口以后收集数据速度要快，以及财政要及时付款，完成当年度的结算工作。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