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2023年度卫健人才发展经费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2023年度卫健人才发展经费，功能分类2100399其他基层医疗卫生机构支出，政府经济分类50501工资福利支出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因财政资金紧张暂未支出该项经费，未支出的经费将结转至下年继续安排支出。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1)每职工年门诊人次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1655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1)医院人均业务收入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241972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2)医院业务收入增长率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30.14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2)患者满意度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因财政资金紧张，该项资金已申请计划但上级主管部门未批复，故无法支出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待资金计划批复下达后，立刻安排后续支出计划，保证明年支出完毕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