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基层医疗机构卫技人员补贴专项经费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基层医疗机构卫技人员补贴专项经费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基层医疗机构卫技人员补贴专项经费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91.27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71.3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7.51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2)全日制本科及以上学历医疗专业卫技人员数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3.89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