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宫颈癌疫苗免费接种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《关于提前下达2023年卫生健康转移支付省级补助资金的通知》榕财社（指）[2022]165号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全区范围内广泛开展宣传、培训，截止2023.12.31，2008.3.1-2009.8.31出生女性共完成第一剂次接种量5126剂次，第二剂次接种量4926剂次。截止2023.12.31，2009.9.1-2010.8.31出生女性共完成第一剂次接种量3569剂次。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1)购入疫苗数量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支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7562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1)购置验收通过率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1)减少家庭经济负担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246.27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1)疫苗报废率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1)12345诉求件数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