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2021年仓山区艾滋病、梅毒、乙肝母婴阻断经费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2021年仓山区艾滋病、梅毒、乙肝母婴阻断经费  （仓妇幼院[2023]21号）  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2021年仓山区艾滋病、梅毒、乙肝母婴阻断经费  （仓妇幼院[2023]21号）  商品和服务支出,加强艾滋病、梅毒和乙肝母婴阻断工作的开展。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2)新生儿满28天后，接种乙肝疫苗第二针人数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674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1)村卫生室中医药服务能力覆盖率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2021年仓山区艾滋病、梅毒、乙肝母婴阻断经费,经费支出问题导致项目未完成.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项目绩效制定时应该考虑实际情况，合理制定目标，积极沟通，争取完成目标。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