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疾病预防控制机构能力建设省级补助</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《福州市财政局福州市卫生健康委员会关于下达疾病预防控制机构能力建设省级补助资金的通知》(榕财社（指）[2022]132号)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新冠病毒核酸检测	阳性率为33.1%</w:t>
        <w:cr/>
        <w:t>甲乙型流感病毒核酸检测	阳性率为29.7%</w:t>
        <w:cr/>
        <w:t>诺如病毒核酸检测	阳性率为21.4%</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1)配套资金到位率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1)人员技术培训</w:t>
        <w:cr/>
        <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4</w:t>
      </w:r>
      <w:r>
        <w:rPr>
          <w:rFonts w:ascii="仿宋" w:hAnsi="仿宋" w:cs="仿宋" w:eastAsia="仿宋"/>
          <w:sz w:val="32"/>
        </w:rPr>
        <w:t>，完成值</w:t>
      </w:r>
      <w:r>
        <w:rPr>
          <w:rFonts w:ascii="仿宋" w:hAnsi="仿宋" w:cs="仿宋" w:eastAsia="仿宋"/>
          <w:sz w:val="32"/>
        </w:rPr>
        <w:t>13</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2)使用PRC技术检测的病原体数量</w:t>
        <w:cr/>
        <w:t/>
      </w:r>
      <w:r>
        <w:rPr>
          <w:rFonts w:ascii="仿宋" w:hAnsi="仿宋" w:cs="仿宋" w:eastAsia="仿宋"/>
          <w:sz w:val="32"/>
        </w:rPr>
        <w:t>(</w:t>
      </w:r>
      <w:r>
        <w:rPr>
          <w:rFonts w:ascii="仿宋" w:hAnsi="仿宋" w:cs="仿宋" w:eastAsia="仿宋"/>
          <w:sz w:val="32"/>
        </w:rPr>
        <w:t>种</w:t>
      </w:r>
      <w:r>
        <w:rPr>
          <w:rFonts w:ascii="仿宋" w:hAnsi="仿宋" w:cs="仿宋" w:eastAsia="仿宋"/>
          <w:sz w:val="32"/>
        </w:rPr>
        <w:t>)，目标值</w:t>
      </w:r>
      <w:r>
        <w:rPr>
          <w:rFonts w:ascii="仿宋" w:hAnsi="仿宋" w:cs="仿宋" w:eastAsia="仿宋"/>
          <w:sz w:val="32"/>
        </w:rPr>
        <w:t>2</w:t>
      </w:r>
      <w:r>
        <w:rPr>
          <w:rFonts w:ascii="仿宋" w:hAnsi="仿宋" w:cs="仿宋" w:eastAsia="仿宋"/>
          <w:sz w:val="32"/>
        </w:rPr>
        <w:t>，完成值</w:t>
      </w:r>
      <w:r>
        <w:rPr>
          <w:rFonts w:ascii="仿宋" w:hAnsi="仿宋" w:cs="仿宋" w:eastAsia="仿宋"/>
          <w:sz w:val="32"/>
        </w:rPr>
        <w:t>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1)采购设备数量</w:t>
      </w:r>
      <w:r>
        <w:rPr>
          <w:rFonts w:ascii="仿宋" w:hAnsi="仿宋" w:cs="仿宋" w:eastAsia="仿宋"/>
          <w:sz w:val="32"/>
        </w:rPr>
        <w:t>(</w:t>
      </w:r>
      <w:r>
        <w:rPr>
          <w:rFonts w:ascii="仿宋" w:hAnsi="仿宋" w:cs="仿宋" w:eastAsia="仿宋"/>
          <w:sz w:val="32"/>
        </w:rPr>
        <w:t>件</w:t>
      </w:r>
      <w:r>
        <w:rPr>
          <w:rFonts w:ascii="仿宋" w:hAnsi="仿宋" w:cs="仿宋" w:eastAsia="仿宋"/>
          <w:sz w:val="32"/>
        </w:rPr>
        <w:t>)，目标值</w:t>
      </w:r>
      <w:r>
        <w:rPr>
          <w:rFonts w:ascii="仿宋" w:hAnsi="仿宋" w:cs="仿宋" w:eastAsia="仿宋"/>
          <w:sz w:val="32"/>
        </w:rPr>
        <w:t>15</w:t>
      </w:r>
      <w:r>
        <w:rPr>
          <w:rFonts w:ascii="仿宋" w:hAnsi="仿宋" w:cs="仿宋" w:eastAsia="仿宋"/>
          <w:sz w:val="32"/>
        </w:rPr>
        <w:t>，完成值</w:t>
      </w:r>
      <w:r>
        <w:rPr>
          <w:rFonts w:ascii="仿宋" w:hAnsi="仿宋" w:cs="仿宋" w:eastAsia="仿宋"/>
          <w:sz w:val="32"/>
        </w:rPr>
        <w:t>24</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1)及时上报采购预算</w:t>
        <w:cr/>
        <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1)使用PCR等实验室检测技术用于传染病监测数</w:t>
        <w:cr/>
        <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1539</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1)12345诉求件数</w:t>
        <w:cr/>
        <w:t/>
      </w:r>
      <w:r>
        <w:rPr>
          <w:rFonts w:ascii="仿宋" w:hAnsi="仿宋" w:cs="仿宋" w:eastAsia="仿宋"/>
          <w:sz w:val="32"/>
        </w:rPr>
        <w:t>(</w:t>
      </w:r>
      <w:r>
        <w:rPr>
          <w:rFonts w:ascii="仿宋" w:hAnsi="仿宋" w:cs="仿宋" w:eastAsia="仿宋"/>
          <w:sz w:val="32"/>
        </w:rPr>
        <w:t>件</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10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