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2021年艾滋病、梅毒、和乙肝母婴病毒阻断经费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仓卫妇幼院【2023】21号    50502其他商品和服务支出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持续开展艾滋病、梅毒、乙肝母婴阻断宣传工作。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1)宣传折页发放数量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张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1)科普活动参与人数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因为财政紧缩，开展工作延迟，未及时支付资金。当年预算支付率、预算执行率低。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根据财政安排进度，及时支付资金。提高当年预算支付率、预算执行率。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