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老龄业务经费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医养结合日常办公经费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老龄健康工作正常开展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1)配套资金到位率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1)重点工作办结率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1)保障部门日常运转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1)形成工作总结并上报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1)平台数据存储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1)服务对象投诉次数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