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2021-2023年艾梅乙经费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2021-2023年艾梅乙经费（仓妇幼【2023】21号）（经济分类30299，部门经济分类50599）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未支出。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1)早孕建册率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92.75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1)医院业务收入增长率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19.3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收到2021-2023年艾梅乙经费1万元，已开展相关活动，报销材料已审批，财政未安排支出。预算执行未完成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收到2021-2023年艾梅乙经费1万元，已开展相关活动，报销材料已审批，财政未安排支出。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收到2021-2023年艾梅乙经费1万元，已开展相关活动，报销材料已审批，申请财政安排支出。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收到2021-2023年艾梅乙经费1万元，已开展相关活动，报销材料已审批，申请财政安排支出。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