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“双提升”工程补助经费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已支出32000元。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9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1)每门急诊人次平均收费水平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225.39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