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重大传染病防控美沙酮门诊经费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《福州市财政局 福州市卫生健康委员会关于下达2023年卫生健康转移支付省级补助资金（第二批）的通知》（榕财社（指）[2023]33号)，2100409重大公共卫生，30299其他商品及服务支出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提高美沙酮门诊日常工作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1)艾滋信息规范管理率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重大传染病防控美沙酮门诊经费因资金支付问题，未能及时支付相关费用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重大传染病防控美沙酮门诊经费因资金支付问题，加快资金支付进度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