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（直达资金）基本公共卫生服务省级补助2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（直达资金）基本公共卫生服务省级补助2，榕财社（指）〔2022〕126号，功能分类2100408基本公共卫生服务，政府经济分类50502商品和服务支出，部门经济分类30299其他商品和服务支出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已支付中心2023年11月劳务派遣人员工资及试剂耗材费。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87.7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11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75.8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3.79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75.8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3.79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1)组织宣传活动次数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0.12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1655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3)活动共参与人数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2950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241972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2)医院业务收入增长率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30.14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组织宣传活动一栏系统目标值有误，原目标值为20次/年，已达标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严格审核每年年初填报的绩效目标值，避免出现类似的情况导致评分降低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