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垫付疫情防控经费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提升基层救治能力和医疗物资储备能力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1)设立发热门诊数量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1)疫情防控物资储备种类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1)疫情防控物资质量合格率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1)疫情防控物资保质期率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1)支付核酸检测费用人次数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3066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