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金山社区卫生服务中心及金环社区租金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金环社区租金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已用于支付部分中心附属楼租金。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85.14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良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9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8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46.22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5.14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1)每职工年门诊人次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1655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1)支付（结算）及时性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1)医院人均业务收入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241972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2)医院业务收入增长率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30.14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1)预算与决算网络公开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1)职工满意度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2)患者满意度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当年未制定系统性的支出计划，年底资金较紧张，故该专项资金的支出率较低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在资金下达后立刻制定分阶段支出计划，加快支出进度，在年底前达到支出目标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