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2023年基本公共卫生服务项目补助经费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2023年基本公共卫生服务项目补助经费 （仓卫基层【2023】68号）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电子健康档案建档率≥90%，儿童健康管理率≥90%，老年人健康管理率≥70%，高血压和2型糖尿病患者规范管理率≥70%，严重精神障碍患者规范管理率≥80%。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1)传染病和突发公共卫生事件报告率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1)业务处理及时性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1)家庭医生签约率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46.9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98.25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