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2023年基本公共卫生服务区级补助1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2023年基本公共卫生服务区级补助1（仓财预〔2023〕1号）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电子健康档案建档率≥90%，儿童健康管理率≥90%，老年人健康管理率≥72%，高血压和2型糖尿病患者规范管理率≥76%，严重精神障碍患者规范管理率≥80%，肺结核患者管理率≥90%，中医药健康管理率≥65%。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90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12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12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1)每千人口卫生技术人员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0.76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2)每千人口注册护士人数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0.33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3)每千人口执业（助理）医师人数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0.1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0.12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1)居民医保门诊就诊次数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4000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43355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1)疫苗存放环境温度监控情况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750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720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