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2023年度卫健人才发展经费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2023年度卫健人才发展经费  仓卫人〔2023 〕37号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用于发放全科医生补贴，加强经费管理，确保专款专用。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1)全科医生人数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1)居民医保门诊就诊次数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43355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