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2023年妇幼健康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榕财社（指）【2022】165号  关于提前下达2023年卫生健康转移支付省级补助资金的通知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83.12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18.74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1)服务辖区数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1)任务年度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2023年度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1)保障辖区妇女儿童健康。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保障辖区妇女儿童健康。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保障辖区妇女儿童健康。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保障辖区妇女儿童健康。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2023年支付材料送审，存在付款不及时的问题。影响了预算执行率。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要求业务口及时做好报销材料，财务及时送审，也请财政及时付款。完成基本公共卫生费用结算工作。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