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打击两非及非法行医专项经费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打击两非及非法行医专项经费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统一购买卫生监督员制服，进一步提升监督队伍形象；购买保安服务，增强打击非法行医实效；办理无证行医处罚5件，罚没金额37.29万元。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81.88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4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1)开展打击非法行医宣传活动次数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1)年度结案率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81.25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1)案件办理时限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1)医疗废物处置合同签订率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1)12345诉求件回复满意度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支出项目阶段性分配欠合理，阶段性项目支出效率不高，可能导致全年度经费支出不达标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合理分配阶段性支出项目，提高阶段性项目支出效率，避免出现全年度经费支出不达标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