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2022年母婴阻断等省级补助经费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关于下达2022年重大传染病防控省级补助资金的通知  榕财社指【2023】78号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1)降低乙肝母婴传播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1)艾梅乙检测人数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1)孕产妇艾梅乙检测率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1)一年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1)居民健康水平提高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中长期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中长期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居民健康水平提高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1)艾梅乙培训班满意度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孕妇在医院初次产前保健做艾梅乙检测后，未返回医院取检测报告，导致部分阳性孕妇无法填报阳性孕妇个案登记卡。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现要求感染梅毒的孕产妇所生儿童随访时需留存医院体检资料，但部分随访儿童不去医院体检，且体检的医院可能不配合提供资料。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初次产前保健的孕妇到医院产检均应建立孕产妇系统管理档案，若发现阳性孕妇可从档案中提取基本信息填报阳性个案登记卡。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指定医院做感染梅毒孕产妇所生儿童的随访体检，医院按要求给随访儿童做梅毒相关检测并提供体检资料给妇幼存档。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