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基层医疗卫生机构药品零差率耗材补助1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基层医疗卫生机构药品零差率耗材补助1，功能分类2100399其他基层医疗卫生机构支出，政府经济分类50502商品和服务支出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因财政资金紧张暂未支出该项经费，未支出的经费将结转至下年继续安排支出。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77.57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因财政资金紧张，该项资金已申请计划但上级主管部门未批复，故无法支出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待资金计划批复下达后，立刻安排后续支出计划，保证明年支出完毕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