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登革热防控经费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仓登指【2023】1号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实行24小时疫情值班制度，依托联防联控体系，发现病例后第一时间完成流行病学调查并迅速划定核心区，指导开展成蚊消杀、病例搜索、应急监测、环境整治等疫情处置工作。截止12月31日共流调处置2025例登革热病例。中心通过疫情网和医疗检验机构等渠道，严密监视辖区病例，实时汇总病例发病、感染路径、核心区监测等数据，及时通报反馈相关镇街和主管部门。组建6支18人的外环境监测队伍，对新发疫点进行幼虫和成虫监测。指导13家镇卫生院（社区卫生服务中心）强化对重点区域和场所开展蚊媒密度监测和控制效果评估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90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7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7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1)配套资金到位率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50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1)登革热抗原抗体试剂需求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份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1600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1)宣传印刷墙报数量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张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500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500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14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14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1)新发疫点监测覆盖率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13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13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1)业务处理及时性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13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13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1)疫情处置率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1)接到群众投诉次数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