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精神卫生和慢性非传染性疾病防治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精神卫生和慢性非传染性疾病防治，榕财社（指）〔2021〕72号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精神卫生和慢性非传染性疾病防治，榕财社（指）〔2021〕72号，用于精神卫生和慢性非传染性疾病防治工作。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79.98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中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4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1)严重精神障碍患者规范管理率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94.81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9.98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1)适龄儿童国家免疫规划疫苗接种率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1)村卫生室中医药服务能力覆盖率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1)居民满意度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精神卫生和慢性非传染性疾病防治经费支出问题，导致资金使用率为0，项目未完成.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项目绩效制定时应该考虑实际情况，合理制定目标，积极沟通，争取完成目标。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