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（直达资金）2023年疾病预防控制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榕财社（指）【2023】103号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对我区8-10岁儿童碘含量监测200人，监测孕妇重点人群碘含量监测100人，检测尿碘含量和家中食用盐碘含量，碘盐覆盖率和合格碘盐食用率均大于 95%。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1)配套资金到位率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1)了解我区居民碘营养水平和膳食碘摄入情况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1)我区居民碘盐标本监测数量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份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1)我区居民碘盐标本监测数量碘含量分析结果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百分率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96.5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1)根据市疾控碘缺乏病监测统一部署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百分率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1)消除我区碘缺乏病人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1)碘缺乏病人发生数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