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2023年中医药发展专项经费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2023年中医药发展专项经费     50299其他商品和服务支出。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提升中医基地硬件，为中医馆添置诊疗设备。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69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0.23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	因为财政紧缩，开展工作延迟，未及时支付资金。当年预算支付率、预算执行率低。						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	根据财政进度安排，及时支付资金。提高当年预算支付率、预算执行率。						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