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2023年基层医疗卫生机构药品零差率耗材补助经费2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2023年基层医疗卫生机构药品零差率耗材补助经费2  （仓卫基层[2023]55号） 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2023年基层医疗卫生机构药品零差率耗材补助经费2  （仓卫基层[2023]55号）  商品和服务支出，为进一步实施基层医疗卫生机构药品零差率政策，激励基层医疗单位工作积极性，更好为辖区居民提供优质、满意的诊疗服务。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81.14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10.23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1.14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1)总诊疗人次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68568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1)辖区内管理的高血压患者规范管理率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1)门诊总收入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1478.06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药品零差率耗材经费支出问题，导致资金使用率为0，项目未完成.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