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对我区8-10岁儿童碘含量监测200人，监测孕妇重点人群碘含量监测100人，检测尿碘含量和家中食用盐碘含量，碘盐覆盖率和合格碘盐食用率均大于 95%，我区全年无碘缺乏病人发生。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1)了解我区居民碘营养水平和膳食碘摄入情况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1)碘营养监测数量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1)合格碘盐率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1)采集标本到检测结果时间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1)群众全年碘缺乏病医疗费支出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1)全年患碘缺乏病人数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