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2023年基层医疗机构全科医生岗位补助区级补助经费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2023年基层医疗机构全科医生岗位补助区级经费      50199其他工资福利支出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为提高全科医生待遇，吸引更多的医学优秀人才加入全科医生队伍，推动全科医生制度的建立和实施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73.17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单位旧址因危房停诊，部分医生进修学习，财政政策紧缩，未及时发放全科医生补助。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因财政政策紧缩后，及时跟进财政进度安排，全科医生补助发放到位。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