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（直达资金）基本药物制度补助资金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（直达资金）基本药物制度补助资金（闽财社指【2023】32号    经济分类30299其他商品服务支出   支出功能分类2100399）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已支出1.35万元。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91.79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3.65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3.65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