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发热门诊诊间结算系统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发热门诊诊间结算系统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此笔款项未支付。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69.49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11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1800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1918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3)每千人口注册护士人数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0.33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4)每千人口执业（助理）医师人数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1)资率金使用合规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225.39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72.47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14.49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收到发热门诊诊间结算系统经费22万元，此报销材料已签批，财政未安排支出。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收到发热门诊诊间结算系统经费22万元，此报销材料已签批，申请财政安排支出，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