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基本公共卫生区级补助经费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基本公共卫生区级补助经费，仓卫基层【2023】43号 2100408基本公共卫生 30299其他商品和服务支出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给基层医疗机构按规定项目免费为辖区内居民提供基本公共卫生服务 </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1)适龄儿童国家免疫规划疫苗接种率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90</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000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1)均次门诊医药费</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200000</w:t>
      </w:r>
      <w:r>
        <w:rPr>
          <w:rFonts w:ascii="仿宋" w:hAnsi="仿宋" w:cs="仿宋" w:eastAsia="仿宋"/>
          <w:sz w:val="32"/>
        </w:rPr>
        <w:t>，完成值</w:t>
      </w:r>
      <w:r>
        <w:rPr>
          <w:rFonts w:ascii="仿宋" w:hAnsi="仿宋" w:cs="仿宋" w:eastAsia="仿宋"/>
          <w:sz w:val="32"/>
        </w:rPr>
        <w:t>245701</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2)医院人均业务收入</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150</w:t>
      </w:r>
      <w:r>
        <w:rPr>
          <w:rFonts w:ascii="仿宋" w:hAnsi="仿宋" w:cs="仿宋" w:eastAsia="仿宋"/>
          <w:sz w:val="32"/>
        </w:rPr>
        <w:t>，完成值</w:t>
      </w:r>
      <w:r>
        <w:rPr>
          <w:rFonts w:ascii="仿宋" w:hAnsi="仿宋" w:cs="仿宋" w:eastAsia="仿宋"/>
          <w:sz w:val="32"/>
        </w:rPr>
        <w:t>151</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因基本共卫生绩效未能及时发放，造成基本公共卫生补助经费资金支出率为0</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对基本共卫生绩效能够及时发放，加快基本公共卫生补助经费资金支出率提高</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