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基层医疗卫生机构服务设施规划建设提升市级补助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基层医疗卫生机构服务设施规划建设提升市级补助，榕财社（指）〔2023〕44号，功能分类2100399其他基层医疗卫生机构支出，政府经济分类50601资本性支出（一）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已用于支付中心社区医院建设第一期施工进度款、70%设计费及预算编制费。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90.83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1)购置资产数量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台、件、辆、套等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0.83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购置资产数量一栏系统目标值有误，原目标值为10台，2023年度社区医院建设购置资产83台，已达标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严格审核每年年初填报的绩效目标值，避免出现类似的情况导致评分降低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