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2023年适龄女性人乳头瘤病毒（HPV）疫苗免费接种试点项目市级补助奖金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榕财社（指）[2023]72号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全区范围内广泛开展宣传、培训，截止2023.12.31，2008.3.1-2009.8.31出生女性共完成第一剂次接种量5126剂次，第二剂次接种量4926剂次。截止2023.12.31，2009.9.1-2010.8.31出生女性共完成第一剂次接种量3569剂次。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1)配套资金到位率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1)疫苗接种量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剂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4600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4926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1)购进疫苗验收通过率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1)接种数据报送及时性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1)减少家庭经济负担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246.27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1)疫苗报废率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0.1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1)12345诉求件数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件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