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二类疫苗预防接种补助经费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疫苗相关开支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适龄儿童各单苗接种率均在95%以上，全区预防接种单位均实现全程疫苗可追溯。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96.64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2.64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1)II类疫苗报废率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1)疫苗存放环境温度监控情况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1)接种疫苗的种类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1)日常工作完成率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1)年度非税收入数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85.15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1)预防药物接种后发病率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0.005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当年度收到12345投诉件数（反向指标）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