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（直达资金）2023年食品安全风险监测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《关于提前下达2023年卫生健康转移支付省级补助资金的通知》榕财社（指）[2022]165号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采样并对食品中化学性污染物及有害因素、微生物及其致病因子开展常规和专项风险监测。收集我区食品中污染物及有害因素污染数据，分析危害因素可能来源。通过质量监督，降低食品安全风险。对本区各院及卫生院上报食源性疾病实时监测，及时发现并处理存在致病菌食品从而减少被危害人群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1)霍乱每月采样样品数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1)霍乱全年采样完成率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1)霍乱采样月份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1)食源性疾病采样完成率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