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（直达资金）2023年基本公共卫生服务补助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榕财社指【2023】103号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1)慢病患者免费体检人次数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1)老年人健康管理率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1)儿童免费体检人次数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