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（直达资金）2023年职业病防治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其他基本公共卫生服务，《福州市财政局 福州市卫生健康委员会关于下达2023年卫生健康转移支付省级补助资金（第二批）的通知》（榕财社（指）[2023]33号），支出功能分类2100408基本公共卫生服务，部门经济分类302商品和服务支出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福州市2023年工作场所职业病危害因素检测技术方案要求圆满完成了2023年职业病危害因素监测任务，掌握了我去重点行职业危害现状，以及不同用人单位工作场所中职业危害因素分布和浓度，为职业病防治工作制定政策、完善法律标准提供依据和支撑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1)重点职业病突发公共卫生事件数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1)重点职业病监测企业完成数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1)重点职业病监测企业监测项目合格率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1)监测企业职业病危害申报率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64.16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1)新发尘肺病病例数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