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2023年中医药发展专项经费1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2023年中医药发展专项经费1  2100601 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2023年中医药发展专项经费1  2100601 30299其他商品服务支出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95.42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4.21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4.21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488000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年末财政性资金紧张，相关项目资金支付进度慢，未来得及支付完毕。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针对问题，加强资金管理，做好项目开展和资金支出衔接工作，保障资金支付渠道通畅。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