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2023年医疗卫生机构补助资金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2023年医疗卫生机构补助资金   闽财社指[2023]87号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加快卫生健康、社会福利等民生事业发展，着力改善社会保障服务设施条件。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70.83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1)支持市、县公立医院，乡镇卫生院、村卫生所建设等卫生健康类项目数量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座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0.83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1)养老基础设施、卫生健康基础设施建设验收合格率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1)支出市、县公立医院，社区卫生中心、乡镇卫生院、村卫生所建设等卫生健康类项目建设周期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年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1)支出市、县公立医院，社区卫生中心、乡镇卫生院、村卫生所建设等卫生健康类项目收益人数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 xml:space="preserve">执行计划没有考虑到实际情况，导致人员时间安排不合理，项目无法完成。后期要充分审慎考虑项目的时间人员安排。	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2023年医疗卫生机构补助经费支出问题导致资金使用率为0，项目未完成.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