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2023年度卫健人才发展经费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仓卫人【2023】37号      5050199其他工资和福利支出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为在编在岗的注册全科医生按月发放岗位生活补助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72.93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1)帮扶全科医生人数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9.76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因为财政紧缩，开展工作延迟，未及时支付资金。当年预算支付率、预算执行率低。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积极开展工作，根据财政进度安排，及时支付资金。提高当年预算支付率、预算执行率。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