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2023年中医药发展专项经费（2）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仓卫基层【2023】50号   5050299其他商品和服务支出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提升建设中医馆建设，加大中医药宣传，为中医馆添置诊疗设备。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65.17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25.17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因为财政紧缩，开展工作延迟，未及时支付资金。致当年预算支付率、预算执行率低。						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根据财政安排的进度，及时支付资金。提高当年预算支付率、预算执行率。						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