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2023年基本公共卫生服务区级补助经费7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2023年基本公共卫生服务区级补助经费（仓卫基层【2023】43号，经济分类30299其他商品服务支出，支出功能分类2100408）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为更好地开展基本公共卫生服务项目，及时合理使用该工作经费。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1)重复电子健康档案占比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1)老年人体检人数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3868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1)居民规范化电子健康档案覆盖率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80.57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1)2型糖尿病患者规范化管理率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80.28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1)传染病疫情报告及时率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98.75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