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重精及艾滋患者管理专项与传染病防治经费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传染病防治及重精和艾滋管理相关开支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2023年我区重性精神疾病患者规范管理率为90.55%，稳定率99.93%，规律服药率82.32%，重精患者病情稳定，无重大肇事肇祸事件发生，确保我区治安稳定。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88.06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1)规范服药率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82.32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 xml:space="preserve">	</w:t>
        <w:cr/>
        <w:t>75.00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1)艾滋信息规范管理率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 xml:space="preserve">	</w:t>
        <w:cr/>
        <w:t>60.00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1)重性精神病患者稳定率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 xml:space="preserve">	</w:t>
        <w:cr/>
        <w:t>50.00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1)传染病监测完成率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接受治疗的患者满意度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 xml:space="preserve">	</w:t>
        <w:cr/>
        <w:t>60.00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93.07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重精及艾滋患者管理专项与传染病防治经费相较往年支出率比较低。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因资金紧张相关开支暂未报销，待资金足够将加快报销进度，提高支出低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