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人才工作经费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用于组织企业开展“榕博汇”、“向幸福之城出发”校招、人才调研、人才驿站建设等绩效相关工作。		</w:t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  <w:cr/>
        <w:t>联合区人社局、区工信局、区发改局（科技局）等有关部门开展“百日进百企访百人”“人才政策进校园、进企业”等人才专项行动，今年累计开展20余场座谈会，走访调研133家区域内重点人才企业，宣传解读市、区级人才政策。</w:t>
        <w:cr/>
        <w:t/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2)报刊订阅数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类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3)联系服务高层次人才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2)慰问金标准执行准确率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1)鼓励高层次人才积极参评人才项目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1)人才服务满意度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