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节能减排业务经费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节能减排业务经费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用于列支我局节能减排工作采购办公用品、开展节能宣传活动、编外人员工资等支出共计1.97万元。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1)核查重污染企业数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1)业务处理及时性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1)单位GDP能耗下降率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0.1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2.8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1)企业满意度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