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钢窗公司人员经费补助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钢窗公司人员经费补助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钢窗公司在职员工医社保正常缴费直至法定退休为止，合理安排留守人员费用及钢窗公司日常正常开支。我局2023年度已按月支付刚窗公司在职职工医、社保，及留守人员工资。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1)执行次数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百分比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1)职工满意率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