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关于支持主导产业科技创新和人才队伍建设的七条措施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关于支持主导产业科技创新和人才队伍建设的七条措施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依照文件精神，我区将依据市级获批项目进行补助，因市级项目暂未公示获批结果，我区暂无法兑现补助资金。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50.26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2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1)发放补贴标准执行情况与文件符合度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1)奖补资金下达期限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1)人才创造科研成果数量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1)受益企业满意度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5.26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项目时间较长，当年度未完成，导致占用当年度预算金额，造成浪费。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目前我区财力较为紧张，暂无资金可下达，无法兑现企业补助，导致预算执行力低，暂无法完成绩效目标。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对项目保持持续跟踪，了解项目进展情况，根据项目的完成情况确定补助款是否发放，如需发放，将根据文件要求及时、准确实现兑付。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建议统筹安排资金，根据项目时间按照时间顺序合理安排下达相关补助资金，尽快拨付相关补助资金。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