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关于支持生物医药产业人才发展的五条措施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关于支持生物医药产业人才发展的五条措施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依照文件精神，我区将依据市级获批项目进行补助，因市级项目暂未公示获批结果，我区暂无法兑现补助资金。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低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1)补助企业数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1)发放补贴标准执行情况与文件符合度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1)人才创造科研成果数量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项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1)奖励对象中给出满意评价的企业数占全部获奖企业数的比率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依照文件精神，我区将依据市级获批项目进行补助，因市级项目暂未公示获批结果，我区暂无法兑现补助资金。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依照文件精神，我区将依据市级获批项目进行补助，因市级项目暂未公示获批结果，我区暂无法兑现补助资金。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对项目保持持续跟踪，了解项目进展情况，根据项目的完成情况确定补助款是否发放，如需发放，将根据文件要求及时、准确实现兑付。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对项目保持持续跟踪，了解项目进展情况，根据项目的完成情况确定补助款是否发放，如需发放，将根据文件要求及时、准确实现兑付。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