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2022年市级软件产业发展专项资金（市级）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榕财企指〔2023〕21号 ，50799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因财政资金紧张，无法一次性完全兑现所有补助资金，目前已按照文件下拨30万元补助资金，剩余93.25万元将根据财力情况尽快兑付。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77.56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24.34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2.56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1)服务企业帮助企业协调解决问题数量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因财政资金紧张，无法一次性完全兑现所有补助资金，目前已按照文件下拨30万元补助资金，剩余93.25万元将根据财力情况尽快兑付。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