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2022年软件业龙头企业补助资金（市级）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榕财企指〔2023〕24号；50799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因财政资金紧张，无法一次性完全兑现所有补助资金，目前已按照文件下拨20万元补助资金，剩余65.6万元将根据财力情况尽快兑付。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82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1)做大规模奖励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因财政资金紧张，无法一次性完全兑现所有补助资金，目前已按照文件下拨20万元补助资金，剩余65.6万元将根据财力情况尽快兑付。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