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第三十五批、第三十六批省企业技术中心奖励资金（市级）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榕财企指〔2023〕26号；50799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因财政资金紧张，无法一次性完全兑现所有补助资金，目前已按照文件下拨70万元补助资金，剩余140万元将根据财力情况尽快兑付。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83.51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33.33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3.51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1)目标完成率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1)带动企业R&amp;D投入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因财政资金紧张，无法一次性完全兑现所有补助资金，目前已按照文件下拨70万元补助资金，剩余140万元将根据财力情况尽快兑付。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