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2023年度省、市绿色发展省级奖励资金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榕财企指〔2023〕39号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建议统筹安排资金，根据项目时间按照时间顺序合理安排下达相关补助资金，尽快拨付相关补助资金。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1)国家级绿色制造体系评审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目前我区财力较为紧张，导致暂无资金可下达，无法兑现企业补助，导致预算执行力低，无法完成绩效目标。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目前我区财力较为紧张，导致暂无资金可下达，无法兑现企业补助，导致预算执行力低，无法完成绩效目标。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