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2023年度省、市绿色发展省级奖励资金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榕财企指〔2023〕39号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目前我区财力较为紧张，导致暂无资金可下达，无法兑现企业补助，导致预算执行力低，暂无法完成绩效目标。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1)国家级绿色制造体系评审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目前我区财力较为紧张，导致暂无资金可下达，无法兑现企业补助，导致预算执行力低，暂无法完成绩效目标。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