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2023年度省、市绿色发展市级奖励资金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榕财企指〔2023〕39号 ；部门经济分类：50799 其他对企业补助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因我区财力较为紧张，导致暂无资金可下达，无法兑现企业补助，导致预算执行力低，暂无法完成绩效目标。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低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1)奖励企业数量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1)国家级绿色制造体系评审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因我区财力较为紧张，导致暂无资金可下达，无法兑现企业补助，导致预算执行力低，暂无法完成绩效目标。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因我区财力较为紧张，导致暂无资金可下达，无法兑现企业补助，导致预算执行力低，暂无法完成绩效目标。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建议统筹安排资金，根据项目时间按照时间顺序合理安排下达相关补助资金，尽快拨付相关补助资金。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建议统筹安排资金，根据项目时间按照时间顺序合理安排下达相关补助资金，尽快拨付相关补助资金。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