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第四批专精特新“小巨人”企业认定市级奖励资金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榕财企指〔2023〕41号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目前我区财力较为紧张，导致暂无资金可下达，无法兑现企业补助。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25.26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1)规模以上工业企业R&amp;D经费支出占比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5.26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1)受益企业设立研发机构数量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目前我区财力较为紧张，导致暂无资金可下达，无法兑现企业补助，导致预算执行力低，暂无法完成绩效目标。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目前我区财力较为紧张，导致暂无资金可下达，无法兑现企业补助，导致预算执行力低，暂无法完成绩效目标。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建议区财政统筹安排各类资金，根据项目、时间顺序合理安排下达相关资金。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建议区财政统筹安排各类资金，根据项目、时间顺序合理安排下达相关资金。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