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陕西全运会有功单位奖励经费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陕西全运会有功单位奖励经费。榕财教(指)（2022）31号：关于下达陕西全运会有功单位奖励经费的通知。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主要用于维修场地、选拔体育后备人才、组织队伍参加比赛。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91.72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数量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1)项目补助经费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7.5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63.87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6.72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1)单位管理实施率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1)服务基层满意度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