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体育事业专项经费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2022年中央集中彩票公益金支持体育事业专项经费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用于组织队伍参加比赛、场地维修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81.94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1)项目补助经费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1)奖补资金下达期限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18.47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1.94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2022年受疫情影响，组织参加比赛有限，因此经费预算执行率较低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做好资金使用计划，跟进资金使用进度，合理安排资金去向，及时拨付资金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