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笫44届世界遗产大会表彰经费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笫44届世界遗产大会表彰经费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资金拨付（下达、结算）及时率、预算执行率、服务对象满意率均达到了100%。在保护文化遗产的同时，树立典型，弘扬先进、鼓舞士气，持续发挥“后世遗”效应。最后，该资金的资金管理规范化水平也得到了提高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1)表彰奖励人数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1)项目实施过程中因结算不及时发生的诉讼纠纷数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