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用于体育事业的彩票公益金支出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用于体育事业的彩票公益金支出（闽财教指〔2022〕64号）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用于组织队伍参加比赛。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1)补助东京奥运会前8名成绩输送单位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1)补助下达执行率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1)补助各地发展体育事业达标率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1)补助资金下达率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因2022年疫情原因，按计划2022年开展各项体育后备人才选拔。后因疫情无法开展此项赛事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绩效评价个性指标体系不完善。年初上报绩效目标时，绩效评价个性指标不够完善，个性指标未能全面体现项目效果。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经费结转至2023年使用，作为基层体校来说能够用此项经费挖掘更多的体育后备人才。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应逐步完善项目绩效个性指标体系。今后在期初制定预算目标时，应充分理解项目的中长期规划及近期目标，结合项目的特点，全面设定能充分体现项目效果的个性指标。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