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文体场所管理经费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文体场所管理经费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实施文化惠民工程，丰富群众文化体育生活，努力为全区群众提供公益的、基本的、均等的、便利的文化服务，旨为广大群众充分享受文化体育发展的成果    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96.36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10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4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88.9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9.36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1)举办文化体育活动数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场次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28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303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1)满足群众的文化需求率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％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1)受益群众数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2.6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8.85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1)群众满意度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