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仓山区人民政府教育督导室</w:t>
      </w:r>
    </w:p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“双减”工作专项督导半月报表</w:t>
      </w:r>
    </w:p>
    <w:p/>
    <w:p>
      <w:pPr>
        <w:rPr>
          <w:rFonts w:hint="default" w:eastAsia="仿宋"/>
          <w:lang w:val="en-US" w:eastAsia="zh-CN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3"/>
        <w:gridCol w:w="6651"/>
        <w:gridCol w:w="720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34" w:type="dxa"/>
            <w:gridSpan w:val="2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rFonts w:eastAsia="宋体"/>
                <w:kern w:val="0"/>
              </w:rPr>
            </w:pPr>
            <w:r>
              <w:rPr>
                <w:rFonts w:hint="eastAsia"/>
                <w:kern w:val="0"/>
              </w:rPr>
              <w:t>督导内容项目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基本情况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本地区县（市、区）总数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eastAsia="宋体"/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本地区义务教育阶段学校总数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85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本地区义务教育阶段学科类校外培训机构总数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2"/>
              <w:ind w:left="0" w:leftChars="0" w:firstLine="0" w:firstLineChars="0"/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其中：线上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线下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94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7" w:hRule="atLeast"/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1.作业管理情况</w:t>
            </w: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 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rFonts w:eastAsia="宋体"/>
                <w:kern w:val="0"/>
              </w:rPr>
            </w:pPr>
            <w:r>
              <w:rPr>
                <w:rFonts w:hint="eastAsia"/>
                <w:kern w:val="0"/>
              </w:rPr>
              <w:t>建立作业校内公示制度学校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85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作业时间控制达标学校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85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不给家长布置作业或要求家长批改作业的学校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85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2.课后服务开展情况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rFonts w:hint="eastAsia" w:eastAsia="仿宋"/>
                <w:kern w:val="0"/>
                <w:lang w:eastAsia="zh-CN"/>
              </w:rPr>
            </w:pPr>
            <w:r>
              <w:rPr>
                <w:rFonts w:hint="eastAsia"/>
                <w:kern w:val="0"/>
              </w:rPr>
              <w:t>提供课后服务的学校</w:t>
            </w:r>
            <w:r>
              <w:rPr>
                <w:rFonts w:hint="eastAsia"/>
                <w:kern w:val="0"/>
                <w:lang w:eastAsia="zh-CN"/>
              </w:rPr>
              <w:t>（不含寄宿制、特教学校、完小校）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50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服务时间达标的学校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50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szCs w:val="32"/>
                <w:lang w:val="en-US" w:eastAsia="zh-CN" w:bidi="ar-SA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建立经费保障机制的县(市、区)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3.校外培训机构审批情况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rFonts w:eastAsia="宋体"/>
                <w:kern w:val="0"/>
              </w:rPr>
            </w:pPr>
            <w:r>
              <w:rPr>
                <w:rFonts w:hint="eastAsia"/>
                <w:kern w:val="0"/>
              </w:rPr>
              <w:t>统一登记为非营利性机构的学科类校外培训机构（线下）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由备案改为审批的学科类校外培训机构（线上）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学科类校外培训机构压减数量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4.校外培训机构监管情况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占用国家法定节假日、休息日及寒暑假组织义务教育阶段学科类培训的机构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清理占用国家法定节假日、休息日及寒暑假组织义务教育阶段学科类培训机构的完成数量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全面使用示范合同文本的义务教育阶段学科类培训机构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94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5.校外培训预收费监管情况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执行政府指导价的义务教育阶段学科类校外培训机构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培训预收费有效实行风险管控的学科类校外培训机构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94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6.培训广告管控情况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严格执行义务教育阶段学科类校外培训广告管控措施的县(市、区)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查处义务教育阶段学科类校外培训违规广告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83" w:type="dxa"/>
            <w:vMerge w:val="restart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7.举报查处情况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  <w:lang w:eastAsia="zh-CN"/>
              </w:rPr>
              <w:t>省</w:t>
            </w:r>
            <w:r>
              <w:rPr>
                <w:rFonts w:hint="eastAsia"/>
                <w:kern w:val="0"/>
              </w:rPr>
              <w:t>级教育部门接到群众举报"双减"问题线索总数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" w:hRule="atLeast"/>
          <w:jc w:val="center"/>
        </w:trPr>
        <w:tc>
          <w:tcPr>
            <w:tcW w:w="1283" w:type="dxa"/>
            <w:vMerge w:val="continue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kern w:val="0"/>
              </w:rPr>
            </w:pP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其中：办结数量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  <w:jc w:val="center"/>
        </w:trPr>
        <w:tc>
          <w:tcPr>
            <w:tcW w:w="1283" w:type="dxa"/>
            <w:tcBorders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ind w:firstLine="240" w:firstLineChars="100"/>
              <w:rPr>
                <w:kern w:val="0"/>
              </w:rPr>
            </w:pPr>
            <w:r>
              <w:rPr>
                <w:rFonts w:hint="eastAsia"/>
                <w:kern w:val="0"/>
              </w:rPr>
              <w:t>8.非学科类机构分类管理情况</w:t>
            </w:r>
          </w:p>
        </w:tc>
        <w:tc>
          <w:tcPr>
            <w:tcW w:w="6651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ind w:firstLine="480" w:firstLineChars="200"/>
              <w:jc w:val="left"/>
              <w:rPr>
                <w:kern w:val="0"/>
              </w:rPr>
            </w:pPr>
            <w:r>
              <w:rPr>
                <w:rFonts w:hint="eastAsia"/>
                <w:kern w:val="0"/>
              </w:rPr>
              <w:t>已经分类明确非学科类校外培训机构主管部门的县（市、区）</w:t>
            </w:r>
          </w:p>
        </w:tc>
        <w:tc>
          <w:tcPr>
            <w:tcW w:w="720" w:type="dxa"/>
            <w:tcBorders>
              <w:top w:val="dotted" w:color="auto" w:sz="4" w:space="0"/>
              <w:left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eastAsia="仿宋"/>
                <w:kern w:val="0"/>
                <w:lang w:val="en-US" w:eastAsia="zh-CN"/>
              </w:rPr>
            </w:pPr>
            <w:r>
              <w:rPr>
                <w:rFonts w:hint="eastAsia"/>
                <w:kern w:val="0"/>
                <w:lang w:val="en-US" w:eastAsia="zh-CN"/>
              </w:rPr>
              <w:t>0</w:t>
            </w:r>
          </w:p>
        </w:tc>
        <w:tc>
          <w:tcPr>
            <w:tcW w:w="808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default"/>
                <w:kern w:val="0"/>
                <w:lang w:val="en-US" w:eastAsia="zh-CN"/>
              </w:rPr>
            </w:pPr>
            <w:r>
              <w:rPr>
                <w:rFonts w:hint="eastAsia"/>
                <w:kern w:val="0"/>
              </w:rPr>
              <w:t>——</w:t>
            </w:r>
          </w:p>
        </w:tc>
      </w:tr>
    </w:tbl>
    <w:p>
      <w:pPr>
        <w:ind w:firstLine="640" w:firstLineChars="200"/>
        <w:rPr>
          <w:rFonts w:ascii="仿宋_GB2312" w:hAnsi="仿宋_GB2312" w:eastAsia="仿宋_GB2312" w:cs="仿宋_GB2312"/>
          <w:sz w:val="32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F7E"/>
    <w:rsid w:val="000979F3"/>
    <w:rsid w:val="00540F7E"/>
    <w:rsid w:val="00653BB8"/>
    <w:rsid w:val="009F4DE7"/>
    <w:rsid w:val="00EC7A24"/>
    <w:rsid w:val="13857E1B"/>
    <w:rsid w:val="24592414"/>
    <w:rsid w:val="2A346AB3"/>
    <w:rsid w:val="36D63A55"/>
    <w:rsid w:val="402D0A65"/>
    <w:rsid w:val="641C663B"/>
    <w:rsid w:val="6D6904D0"/>
    <w:rsid w:val="77A02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color w:val="000000"/>
      <w:kern w:val="2"/>
      <w:sz w:val="24"/>
      <w:szCs w:val="3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link w:val="8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link w:val="7"/>
    <w:semiHidden/>
    <w:unhideWhenUsed/>
    <w:qFormat/>
    <w:uiPriority w:val="99"/>
    <w:pPr>
      <w:spacing w:after="12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正文文本 Char"/>
    <w:basedOn w:val="6"/>
    <w:link w:val="3"/>
    <w:semiHidden/>
    <w:qFormat/>
    <w:uiPriority w:val="99"/>
    <w:rPr>
      <w:rFonts w:ascii="Times New Roman" w:hAnsi="Times New Roman" w:eastAsia="仿宋" w:cs="Times New Roman"/>
      <w:color w:val="000000"/>
      <w:sz w:val="24"/>
      <w:szCs w:val="32"/>
    </w:rPr>
  </w:style>
  <w:style w:type="character" w:customStyle="1" w:styleId="8">
    <w:name w:val="正文首行缩进 Char"/>
    <w:basedOn w:val="7"/>
    <w:link w:val="2"/>
    <w:semiHidden/>
    <w:qFormat/>
    <w:uiPriority w:val="99"/>
    <w:rPr>
      <w:rFonts w:ascii="Times New Roman" w:hAnsi="Times New Roman" w:eastAsia="仿宋" w:cs="Times New Roman"/>
      <w:color w:val="000000"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237</Words>
  <Characters>1357</Characters>
  <Lines>11</Lines>
  <Paragraphs>3</Paragraphs>
  <TotalTime>49</TotalTime>
  <ScaleCrop>false</ScaleCrop>
  <LinksUpToDate>false</LinksUpToDate>
  <CharactersWithSpaces>1591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2021-09-13T09:32:00Z</dcterms:created>
  <dc:creator>ye roy</dc:creator>
  <cp:lastModifiedBy>理解</cp:lastModifiedBy>
  <cp:lastPrinted>2021-10-14T01:56:06Z</cp:lastPrinted>
  <dcterms:modified xsi:type="dcterms:W3CDTF">2021-10-14T02:49:15Z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AC8E7AB5CED844ABAA30FD5604105838</vt:lpwstr>
  </property>
</Properties>
</file>