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F4F4F4" w:sz="6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240"/>
        <w:rPr>
          <w:b w:val="0"/>
          <w:bCs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b w:val="0"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索 引 号：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717823004/2019-00036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F4F4F4" w:sz="6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240"/>
        <w:rPr>
          <w:b w:val="0"/>
          <w:bCs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分 类：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职业分类与标准;厅发文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F4F4F4" w:sz="6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240"/>
        <w:rPr>
          <w:b w:val="0"/>
          <w:bCs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发布单位：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职业能力建设司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F4F4F4" w:sz="6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240"/>
        <w:rPr>
          <w:b w:val="0"/>
          <w:bCs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发文日期：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2019年04月01日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F4F4F4" w:sz="6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240"/>
        <w:rPr>
          <w:b w:val="0"/>
          <w:bCs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名 称：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人力资源社会保障部办公厅 市场监管总局办公厅 统计局办公室关于发布人工智能工程技术人员 等职业信息的通知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F4F4F4" w:sz="6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240"/>
        <w:rPr>
          <w:b w:val="0"/>
          <w:bCs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文 号：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人社厅发〔2019〕48号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jc w:val="center"/>
        <w:rPr>
          <w:b w:val="0"/>
          <w:bCs/>
          <w:color w:val="18388B"/>
          <w:spacing w:val="0"/>
          <w:sz w:val="33"/>
          <w:szCs w:val="33"/>
        </w:rPr>
      </w:pPr>
      <w:bookmarkStart w:id="0" w:name="_GoBack"/>
      <w:r>
        <w:rPr>
          <w:b w:val="0"/>
          <w:bCs/>
          <w:color w:val="18388B"/>
          <w:spacing w:val="0"/>
          <w:sz w:val="33"/>
          <w:szCs w:val="33"/>
        </w:rPr>
        <w:t>人力资源社会保障部办公厅 市场监管总局办公厅 统计局办公室关于发布人工智能工程技术人员 等职业信息的通知</w:t>
      </w:r>
    </w:p>
    <w:bookmarkEnd w:id="0"/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b w:val="0"/>
          <w:bCs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bdr w:val="none" w:color="auto" w:sz="0" w:space="0"/>
        </w:rPr>
        <w:t xml:space="preserve">字号：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b w:val="0"/>
          <w:bCs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instrText xml:space="preserve"> HYPERLINK "http://www.mohrss.gov.cn/gkml/zcfg/gfxwj/201904/javascript:;" </w:instrTex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t>[大]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bdr w:val="none" w:color="auto" w:sz="0" w:space="0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instrText xml:space="preserve"> HYPERLINK "http://www.mohrss.gov.cn/gkml/zcfg/gfxwj/201904/javascript:;" </w:instrTex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t>[中]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bdr w:val="none" w:color="auto" w:sz="0" w:space="0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instrText xml:space="preserve"> HYPERLINK "http://www.mohrss.gov.cn/gkml/zcfg/gfxwj/201904/javascript:;" </w:instrTex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t>[小]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bdr w:val="none" w:color="auto" w:sz="0" w:space="0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b w:val="0"/>
          <w:bCs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t>[关闭]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bdr w:val="none" w:color="auto" w:sz="0" w:space="0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b w:val="0"/>
          <w:bCs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u w:val="none"/>
          <w:bdr w:val="none" w:color="auto" w:sz="0" w:space="0"/>
        </w:rPr>
        <w:t>[打印]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  <w:bdr w:val="none" w:color="auto" w:sz="0" w:space="0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微软雅黑" w:hAnsi="微软雅黑" w:eastAsia="微软雅黑" w:cs="微软雅黑"/>
          <w:b w:val="0"/>
          <w:bCs/>
          <w:color w:val="000000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spacing w:val="0"/>
          <w:bdr w:val="none" w:color="auto" w:sz="0" w:space="0"/>
          <w:lang w:val="en-US" w:eastAsia="zh-CN" w:bidi="ar"/>
        </w:rPr>
        <w:t>分享到</w:t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instrText xml:space="preserve"> HYPERLINK "http://www.mohrss.gov.cn/gkml/zcfg/gfxwj/201904/t20190402_313702.html" \o "分享到新浪微博" </w:instrText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instrText xml:space="preserve"> HYPERLINK "http://www.mohrss.gov.cn/gkml/zcfg/gfxwj/201904/t20190402_313702.html" \o "分享到QQ空间" </w:instrText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instrText xml:space="preserve"> HYPERLINK "http://www.mohrss.gov.cn/gkml/zcfg/gfxwj/201904/t20190402_313702.html" \o "分享到腾讯微博" </w:instrText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instrText xml:space="preserve"> HYPERLINK "http://www.mohrss.gov.cn/gkml/zcfg/gfxwj/201904/t20190402_313702.html" \o "分享到人人网" </w:instrText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instrText xml:space="preserve"> HYPERLINK "http://www.mohrss.gov.cn/gkml/zcfg/gfxwj/201904/t20190402_313702.html" \o "分享到微信" </w:instrText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50" w:lineRule="atLeast"/>
        <w:jc w:val="center"/>
        <w:rPr>
          <w:rFonts w:hint="eastAsia" w:ascii="微软雅黑" w:hAnsi="微软雅黑" w:eastAsia="微软雅黑" w:cs="微软雅黑"/>
          <w:b w:val="0"/>
          <w:bCs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人社厅发〔2019〕48号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各省、自治区、直辖市及新疆生产建设兵团人力资源社会保障厅（局）、市场监管局、统计局，国务院各部门、各直属机构、各中央企业、有关社会组织人事劳动保障工作机构，中央军委政治工作部兵员和文职人员局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根据《中华人民共和国劳动法》有关规定，为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贯彻落实《国务院关于推行终身职业技能培训制度的意见》提出的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“紧跟新技术、新职业发展变化，建立职业分类动态调整机制，加快职业标准开发工作”要求，加快构建与国际接轨、符合我国国情的现代职业分类体系，我们面向社会公开征集新职业信息。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经专家论证、社会公示等，确定了人工智能工程技术人员等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13个新职业信息，调整变更了4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个职业（工种）信息，新增了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3个工种信息，现予发布。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                     人力资源社会保障部办公厅   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市场监管总局办公厅     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统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计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局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办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公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室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leftChars="0" w:right="0" w:rightChars="0" w:firstLine="0" w:firstLineChars="0"/>
        <w:jc w:val="center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2019年4月1日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leftChars="0" w:right="0" w:rightChars="0" w:firstLine="0" w:firstLineChars="0"/>
        <w:jc w:val="center"/>
        <w:rPr>
          <w:b w:val="0"/>
          <w:bCs/>
          <w:spacing w:val="0"/>
        </w:rPr>
      </w:pP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leftChars="0" w:right="0" w:rightChars="0" w:firstLine="0" w:firstLineChars="0"/>
        <w:jc w:val="center"/>
        <w:rPr>
          <w:b w:val="0"/>
          <w:bCs/>
          <w:spacing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rightChars="0" w:firstLine="0" w:firstLineChars="0"/>
        <w:jc w:val="center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人工智能工程技术人员等职业信息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b w:val="0"/>
          <w:bCs/>
          <w:spacing w:val="0"/>
        </w:rPr>
      </w:pPr>
      <w:r>
        <w:rPr>
          <w:rFonts w:ascii="仿宋_GB2312" w:hAnsi="微软雅黑" w:eastAsia="仿宋_GB2312" w:cs="仿宋_GB2312"/>
          <w:b w:val="0"/>
          <w:bCs/>
          <w:color w:val="333333"/>
          <w:spacing w:val="0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/>
        <w:jc w:val="left"/>
        <w:rPr>
          <w:b w:val="0"/>
          <w:bCs/>
          <w:spacing w:val="0"/>
        </w:rPr>
      </w:pPr>
      <w:r>
        <w:rPr>
          <w:rFonts w:ascii="黑体" w:hAnsi="宋体" w:eastAsia="黑体" w:cs="黑体"/>
          <w:b w:val="0"/>
          <w:bCs/>
          <w:color w:val="333333"/>
          <w:spacing w:val="0"/>
          <w:kern w:val="2"/>
          <w:sz w:val="32"/>
          <w:szCs w:val="32"/>
          <w:bdr w:val="none" w:color="auto" w:sz="0" w:space="0"/>
          <w:lang w:val="en-US" w:eastAsia="zh-CN" w:bidi="ar"/>
        </w:rPr>
        <w:t xml:space="preserve">    </w:t>
      </w:r>
      <w:r>
        <w:rPr>
          <w:rFonts w:hint="eastAsia" w:ascii="黑体" w:hAnsi="宋体" w:eastAsia="黑体" w:cs="黑体"/>
          <w:b w:val="0"/>
          <w:bCs/>
          <w:color w:val="333333"/>
          <w:spacing w:val="0"/>
          <w:kern w:val="2"/>
          <w:sz w:val="24"/>
          <w:szCs w:val="24"/>
          <w:bdr w:val="none" w:color="auto" w:sz="0" w:space="0"/>
          <w:lang w:val="en-US" w:eastAsia="zh-CN" w:bidi="ar"/>
        </w:rPr>
        <w:t>一、新职业信息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（一）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2-02-10-09  人工智能工程技术人员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定义：从事与人工智能相关算法、深度学习等多种技术的分析、研究、开发，并对人工智能系统进行设计、优化、运维、管理和应用的工程技术人员。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主要工作任务：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1.分析、研究人工智能算法、深度学习及神经网络等技术；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2.研究、开发、应用人工智能指令、算法及技术；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3.规划、设计、开发基于人工智能算法的芯片；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4.研发、应用、优化语言识别、语义识别、图像识别、生物特征识别等人工智能技术；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5.设计、集成、管理、部署人工智能软硬件系统；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6.设计、开发人工智能系统解决方案；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7.提供人工智能相关技术咨询和技术服务。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（二）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2-02-10-10  物联网工程技术人员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定义：从事物联网架构、平台、芯片、传感器、智能标签等技术的研究和开发，以及物联网工程的设计、测试、维护、管理和服务的工程技术人员。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主要工作任务：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1.研究、应用物联网技术、体系结构、协议和标准；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2.研究、设计、开发物联网专用芯片及软硬件系统；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3.规划、研究、设计物联网解决方案；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4.规划、设计、集成、部署物联网系统并指导工程实施；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5.安装、调测、维护并保障物联网系统的正常运行；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6.监控、管理和保障物联网系统安全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7.提供物联网系统的技术咨询和技术支持。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（三）2-02-10-11  大数据工程技术人员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定义：从事大数据采集、清洗、分析、治理、挖掘等技术研究，并加以利用、管理、维护和服务的工程技术人员。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主要工作任务：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1.研究和开发大数据采集、清洗、存储及管理、分析及挖掘、展现及应用等有关技术；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2.研究、应用大数据平台体系架构、技术和标准；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3.设计、开发、集成、测试大数据软硬件系统；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4.大数据采集、清洗、建模与分析；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5.管理、维护并保障大数据系统稳定运行；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6.监控、管理和保障大数据安全；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7.提供大数据的技术咨询和技术服务。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（四）2-02-10-12  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云计算工程技术人员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定义：从事云计算技术研究，云系统构建、部署、运维，云资源管理、应用和服务的工程技术人员。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主要工作任务：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1.开发虚拟化、云平台、云资源管理和分发等云计算技术，以及大规模数据管理、分布式数据存储等相关技术；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2.研究、应用云计算技术、体系架构、协议和标准；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3.规划、设计、开发、集成、部署云计算系统；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4.管理、维护并保障云计算系统的稳定运行；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5.监控、保障云计算系统安全；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6.提供云计算系统的技术咨询和技术服务。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（五）2-02-30-11  数字化管理师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定义：使用数字化智能移动办公平台，进行企业或组织的人员架构搭建、运营流程维护、工作流协同、大数据决策分析、上下游在线化连接，实现企业经营管理在线化、数字化的人员。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主要工作任务：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1.制定数字化办公软件推进计划和实施方案，搭建企业及组织的人员架构，进行扁平透明可视化管理；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2.进行数字化办公模块的搭建和运转流程的维护，实现高效安全沟通；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3.制定企业及组织工作流协同机制，进行知识经验的沉淀和共享；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4.进行业务流程和业务行为的在线化，实现企业的大数据决策分析；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5.打通企业和组织的上下游信息通道，实现组织在线、沟通在线、协同在线、业务在线，降低成本，提升生产、销售效率。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（六）4-04-05-04  建筑信息模型技术员 L 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定义：利用计算机软件进行工程实践过程中的模拟建造，以改进其全过程中工程工序的技术人员。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主要工作任务：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1.负责项目中建筑、结构、暖通、给排水、电气专业等建筑信息模型的搭建、复核、维护管理工作；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2.协同其它专业建模，并做碰撞检查；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3.通过室内外渲染、虚拟漫游、建筑动画、虚拟施工周期等，进行建筑信息模型可视化设计；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4.施工管理及后期运维。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（七）4-13-05-03  电子竞技运营师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定义：在电竞产业从事组织活动及内容运营的人员。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主要工作任务：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1.进行电竞活动的整体策划和概念规划，设计并制定活动方案；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2.维护线上、线下媒体渠道关系，对电竞活动的主题、品牌进行宣传、推广、协调及监督；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3.分析评估电竞活动商业价值，确定活动赞助权益，并拓展与赞助商、承办商的合作；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4.协调电竞活动的各项资源，组织电竞活动；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5.制作和发布电竞活动的音视频内容，并评估发布效果；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6.对电竞活动进行总结报告，对相关档案进行管理。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（八）4-13-99-00  电子竞技员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定义：从事不同类型电子竞技项目比赛、陪练、体验及活动表演的人员。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主要工作任务：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1.参加电子竞技项目比赛；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2.进行专业化的电子竞技项目训练活动；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3.收集和研究电竞战队动态、电竞游戏内容，提供专业的电竞数据分析；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4.参与电竞游戏的设计和策划，体验电竞游戏并提出建议；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5.参与电竞活动的表演。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（九）4-99-00-00  无人机驾驶员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定义：通过远程控制设备，操控无人机完成既定飞行任务的人员。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主要工作任务：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1.安装、调试无人机电机、动力设备、桨叶及相应任务设备等；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2.根据任务规划航线；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3.根据飞行环境和气象条件校对飞行参数；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4.操控无人机完成既定飞行任务；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5.整理并分析采集的数据；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6.评价飞行结果和工作效果；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7.检查、维护、整理无人机及任务设备。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（十）5-05-01-02  农业经理人 L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70" w:firstLineChars="196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定义：在农民专业合作社等农业经济合作组织中，从事农业生产组织、设备作业、技术支持、产品加工与销售等管理服务的人员。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主要工作任务：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1.搜集和分析农产品供求、客户需求数据等信息；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2.编制生产、服务经营方案和作业计划；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3.调度生产、服务人员，安排生产或服务项目；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4.指导生产、服务人员执行作业标准；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5.疏通营销渠道，维护客户关系；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6.组织产品加工、运输、营销；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7.评估生产、服务绩效，争取资金支持。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（十一）6-25-04-09  物联网安装调试员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定义：利用检测仪器和专用工具，安装、配置、调试物联网产品与设备的人员。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主要工作任务：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1.检测物联网设备、感知模块、控制模块的质量；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2.组装物联网设备及相关附件；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3.连接物联网设备电路；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4.建立物联网设备与设备、设备与网络的连接；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5.调整设备安装距离，优化物联网网络布局；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6.配置物联网网关和短距传输模块参数；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7.预防和解决物联网产品和网络系统中的网络瘫痪、中断等事件，确保物联网产品及网络的正常运行。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（十二）6-30-99-00  工业机器人系统操作员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定义：使用示教器、操作面板等人机交互设备及相关机械工具，对工业机器人、工业机器人工作站或系统进行装配、编程、调试、工艺参数更改、工装夹具更换及其他辅助作业的人员。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主要工作任务：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1.按照工艺指导文件等相关文件的要求完成作业准备；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2.按照装配图、电气图、工艺文件等相关文件的要求，使用工具、仪器等进行工业机器人工作站或系统装配；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3.使用示教器、计算机、组态软件等相关软硬件工具，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对工业机器人、可编程逻辑控制器、人机交互界面、电机等设备和视觉、位置等传感器进行程序编制、单元功能调试和生产联调；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4.使用示教器、操作面板等人机交互设备，进行生产过程的参数设定与修改、菜单功能的选择与配置、程序的选择与切换；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5.进行工业机器人系统工装夹具等装置的检查、确认、更换与复位；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6.观察工业机器人工作站或系统的状态变化并做相应操作，遇到异常情况执行急停操作等；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7.填写设备装调、操作等记录。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（十三）6-31-01-10  工业机器人系统运维员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定义：使用工具、量具、检测仪器及设备，对工业机器人、工业机器人工作站或系统进行数据采集、状态监测、故障分析与诊断、维修及预防性维护与保养作业的人员。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主要工作任务：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1.对工业机器人本体、末端执行器、周边装置等机械系统进行常规性检查、诊断；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2.对工业机器人电控系统、驱动系统、电源及线路等电气系统进行常规性检查、诊断；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3.根据维护保养手册，对工业机器人、工业机器人工作站或系统进行零位校准、防尘、更换电池、更换润滑油等维护保养；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4.使用测量设备采集工业机器人、工业机器人工作站或系统运行参数、工作状态等数据，进行监测；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5.对工业机器人工作站或系统的故障进行分析、诊断与维修；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6.编制工业机器人系统运行维护、维修报告。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黑体" w:hAnsi="宋体" w:eastAsia="黑体" w:cs="黑体"/>
          <w:b w:val="0"/>
          <w:bCs/>
          <w:color w:val="333333"/>
          <w:spacing w:val="0"/>
          <w:kern w:val="2"/>
          <w:sz w:val="24"/>
          <w:szCs w:val="24"/>
          <w:bdr w:val="none" w:color="auto" w:sz="0" w:space="0"/>
          <w:lang w:val="en-US" w:eastAsia="zh-CN" w:bidi="ar"/>
        </w:rPr>
        <w:t>二、调整变更职业（工种）信息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（一）“电子音乐编辑（2-10-02-06）”更改为：“电子音乐制作师（2-10-02-06）”。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（二）“鉴定估价师（4-05-05-02）”下设的工种“二手车鉴定评估师”更改为：“机动车鉴定评估师”。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（三）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将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“企业人力资源管理师”由第二大类“人力资源管理专业人员”职业下工种（未列）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，恢复调整为第四大类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“人力资源服务人员”小类下职业，职业编码为：4-07-03-04。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（四）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“农业技术员（5-05-01-00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）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”的职业编码更改为：5-05-01-01。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三、新增工种信息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（一）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在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“家政服务员（4-10-01-06）”下增设“母婴护理员”工种。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（二）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在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“农业技术员（5-05-01-01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）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”下增设“茶园管理员”工种。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b w:val="0"/>
          <w:bCs/>
          <w:spacing w:val="0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（三）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在</w:t>
      </w:r>
      <w:r>
        <w:rPr>
          <w:rFonts w:hint="eastAsia" w:ascii="微软雅黑" w:hAnsi="微软雅黑" w:eastAsia="微软雅黑" w:cs="微软雅黑"/>
          <w:b w:val="0"/>
          <w:bCs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“经济昆虫产品加工工（5-05-06-06）”下增设“蜂产品品评员”工种。</w:t>
      </w:r>
    </w:p>
    <w:p>
      <w:pPr>
        <w:rPr>
          <w:b w:val="0"/>
          <w:bCs/>
          <w:spacing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B8CC4"/>
    <w:multiLevelType w:val="multilevel"/>
    <w:tmpl w:val="879B8CC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09C2D8CF"/>
    <w:multiLevelType w:val="multilevel"/>
    <w:tmpl w:val="09C2D8C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D2DF0"/>
    <w:rsid w:val="40AB0695"/>
    <w:rsid w:val="5DA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/>
      <w:spacing w:val="-23"/>
      <w:kern w:val="2"/>
      <w:sz w:val="44"/>
      <w:szCs w:val="4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cj_fengxiangdao1"/>
    <w:basedOn w:val="4"/>
    <w:uiPriority w:val="0"/>
    <w:rPr>
      <w:color w:val="33333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2020-08-03T02:06:00Z</dcterms:created>
  <dc:creator>lenovo2</dc:creator>
  <cp:lastModifiedBy>lenovo2</cp:lastModifiedBy>
  <dcterms:modified xsi:type="dcterms:W3CDTF">2020-08-03T02:07:53Z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