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农产品产地冷藏保鲜设施建设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国家级试点县储备要求</w:t>
      </w:r>
    </w:p>
    <w:bookmarkEnd w:id="0"/>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以习近平新时代中国特色社会主义思想为指导，深入贯彻新发展理念，聚焦福建特色现代农业，重点围绕蔬菜、水果、茶叶、食用菌、特色中药材等农产品，合理集中建设农产品产地冷藏保鲜设施，完善智能化分等分级、包装清洗、移动货架、信息采集、物联网以及电力配套设备,加快构建农产品产地冷藏保鲜设施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、申报数量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lang w:eastAsia="zh-CN"/>
        </w:rPr>
        <w:t>根据省农业农村厅要求，我市推荐</w:t>
      </w:r>
      <w:r>
        <w:rPr>
          <w:rFonts w:hint="eastAsia"/>
        </w:rPr>
        <w:t>不少于</w:t>
      </w:r>
      <w:r>
        <w:rPr>
          <w:rFonts w:hint="eastAsia"/>
          <w:lang w:val="en-US" w:eastAsia="zh-CN"/>
        </w:rPr>
        <w:t>3</w:t>
      </w:r>
      <w:r>
        <w:rPr>
          <w:rFonts w:hint="eastAsia"/>
        </w:rPr>
        <w:t>个县作为储备，</w:t>
      </w:r>
      <w:r>
        <w:rPr>
          <w:rFonts w:hint="eastAsia"/>
          <w:lang w:eastAsia="zh-CN"/>
        </w:rPr>
        <w:t>省农业农村</w:t>
      </w:r>
      <w:r>
        <w:rPr>
          <w:rFonts w:hint="eastAsia"/>
        </w:rPr>
        <w:t>厅将通过项目答辩、专家评审</w:t>
      </w:r>
      <w:r>
        <w:rPr>
          <w:rFonts w:hint="eastAsia"/>
          <w:lang w:eastAsia="zh-CN"/>
        </w:rPr>
        <w:t>等方式遴选试点推荐名单，并按程序上报农业农村部</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w:t>
      </w:r>
      <w:r>
        <w:rPr>
          <w:rFonts w:hint="eastAsia" w:ascii="黑体" w:hAnsi="黑体" w:eastAsia="黑体" w:cs="黑体"/>
          <w:lang w:eastAsia="zh-CN"/>
        </w:rPr>
        <w:t>支持对象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支持县级以上示范家庭农场和农民专业合作社示范社，已登记的农村集体经济组织等主体开展项目建设，</w:t>
      </w:r>
      <w:r>
        <w:rPr>
          <w:rFonts w:hint="default" w:ascii="Times New Roman" w:hAnsi="Times New Roman" w:eastAsia="仿宋_GB2312" w:cs="Times New Roman"/>
          <w:color w:val="000000"/>
          <w:sz w:val="32"/>
          <w:szCs w:val="32"/>
        </w:rPr>
        <w:t>促进合作联营、</w:t>
      </w:r>
      <w:r>
        <w:rPr>
          <w:rFonts w:hint="default" w:ascii="Times New Roman" w:hAnsi="Times New Roman" w:eastAsia="仿宋_GB2312" w:cs="Times New Roman"/>
          <w:sz w:val="32"/>
          <w:szCs w:val="32"/>
          <w:lang w:val="en-US" w:eastAsia="zh-Hans"/>
        </w:rPr>
        <w:t>成网配套</w:t>
      </w:r>
      <w:r>
        <w:rPr>
          <w:rFonts w:hint="default" w:ascii="Times New Roman" w:hAnsi="Times New Roman" w:eastAsia="仿宋_GB2312" w:cs="Times New Roman"/>
          <w:sz w:val="32"/>
          <w:szCs w:val="32"/>
          <w:lang w:eastAsia="zh-Hans"/>
        </w:rPr>
        <w:t>，</w:t>
      </w:r>
      <w:r>
        <w:rPr>
          <w:rFonts w:hint="eastAsia"/>
        </w:rPr>
        <w:t>不断提升设施综合利用效率，满足田头贮藏保鲜和商品化处理需要。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、补助标准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试点县以整县推进模式开展创建，采取“先建后补、以奖代补”的方式，补贴比例不超过建设冷藏保鲜设施总造价的30％，单个建设主体补贴规模不超过100万元。对农民合作社获得的财政直接补助形成的资产，要量化到全体成员并记载在成员账户中；对农村集体经济组织获得的财政直接补助形成的资产，量化为集体成员持有的股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重点支持建设预冷库（压差式预冷库）、高温冷藏库、低温冷藏库、气调冷藏库等，鼓励配置信息采集设备，完善净化、预冷、分选、分级、包装等初加工设施设备。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预冷库（含压差式预冷库）。主要用于采收的新鲜水果和蔬菜在贮藏、运输或加工前迅速去除田间热和呼吸热。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冷藏库。包括高温冷藏库、气调冷藏库和低温冷藏库三个类型。高温冷藏库一般用于果蔬贮藏；气调冷藏库配有碳分子筛制氮机、中空纤维膜制氮机、乙烯脱除器等专用设备，可调节冷库气体浓度和组分，主要用于商品附加值较高的产品贮藏；低温冷藏库适用于速冻蔬菜贮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、提交材料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rPr>
        <w:t>1.县级人民政府出具的项目申请报告</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rPr>
        <w:t>2.全国农产品产地冷藏保鲜设施试点县申报书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3.项目实施主体摸底汇总表。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lang w:eastAsia="zh-CN"/>
        </w:rPr>
        <w:t>以上纸质材料均为一式三份。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lang w:eastAsia="zh-CN"/>
        </w:rPr>
      </w:pPr>
      <w:r>
        <w:rPr>
          <w:rFonts w:hint="eastAsia"/>
          <w:color w:val="auto"/>
        </w:rPr>
        <w:t xml:space="preserve">联系人：市场与信息化处 </w:t>
      </w:r>
      <w:r>
        <w:rPr>
          <w:rFonts w:hint="eastAsia"/>
          <w:color w:val="auto"/>
          <w:lang w:val="en-US" w:eastAsia="zh-CN"/>
        </w:rPr>
        <w:t xml:space="preserve"> 尤冰冰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rPr>
      </w:pPr>
      <w:r>
        <w:rPr>
          <w:rFonts w:hint="eastAsia"/>
          <w:color w:val="auto"/>
        </w:rPr>
        <w:t>联系电话：0591-</w:t>
      </w:r>
      <w:r>
        <w:rPr>
          <w:rFonts w:hint="eastAsia"/>
          <w:color w:val="auto"/>
          <w:lang w:val="en-US" w:eastAsia="zh-CN"/>
        </w:rPr>
        <w:t>83338958</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邮箱：fznyscxx@126.com</w:t>
      </w:r>
    </w:p>
    <w:p>
      <w:pPr>
        <w:bidi w:val="0"/>
        <w:spacing w:line="600" w:lineRule="exact"/>
        <w:ind w:firstLine="640" w:firstLineChars="200"/>
        <w:rPr>
          <w:rFonts w:hint="eastAsia"/>
        </w:rPr>
      </w:pPr>
      <w:r>
        <w:rPr>
          <w:rFonts w:hint="eastAsia" w:ascii="仿宋_GB2312" w:eastAsia="仿宋_GB2312"/>
          <w:color w:val="auto"/>
          <w:sz w:val="32"/>
          <w:szCs w:val="32"/>
        </w:rPr>
        <w:t>传真：83379036</w:t>
      </w:r>
    </w:p>
    <w:p>
      <w:pPr>
        <w:rPr>
          <w:rFonts w:hint="eastAsia"/>
        </w:rPr>
        <w:sectPr>
          <w:pgSz w:w="11907" w:h="16839"/>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全国农产品产地冷藏保鲜设施试点县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申报书模板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eastAsia="zh-CN"/>
        </w:rPr>
      </w:pPr>
      <w:r>
        <w:rPr>
          <w:rFonts w:hint="eastAsia" w:ascii="黑体" w:hAnsi="黑体" w:eastAsia="黑体" w:cs="黑体"/>
        </w:rPr>
        <w:t>一、</w:t>
      </w:r>
      <w:r>
        <w:rPr>
          <w:rFonts w:hint="eastAsia" w:ascii="黑体" w:hAnsi="黑体" w:eastAsia="黑体" w:cs="黑体"/>
          <w:lang w:eastAsia="zh-CN"/>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lang w:eastAsia="zh-CN"/>
        </w:rPr>
        <w:t>项目县和主导产业概况。</w:t>
      </w:r>
    </w:p>
    <w:p>
      <w:pPr>
        <w:keepNext w:val="0"/>
        <w:keepLines w:val="0"/>
        <w:pageBreakBefore w:val="0"/>
        <w:widowControl w:val="0"/>
        <w:kinsoku/>
        <w:wordWrap/>
        <w:overflowPunct/>
        <w:topLinePunct w:val="0"/>
        <w:autoSpaceDE/>
        <w:autoSpaceDN/>
        <w:bidi w:val="0"/>
        <w:adjustRightInd/>
        <w:snapToGrid/>
        <w:spacing w:line="600" w:lineRule="exact"/>
        <w:ind w:left="640" w:firstLine="0"/>
        <w:textAlignment w:val="auto"/>
        <w:rPr>
          <w:rFonts w:hint="eastAsia" w:ascii="楷体_GB2312" w:eastAsia="楷体_GB2312" w:cs="仿宋_GB2312"/>
          <w:b/>
          <w:bCs/>
          <w:sz w:val="32"/>
          <w:szCs w:val="32"/>
          <w:lang w:bidi="ar-SA"/>
        </w:rPr>
      </w:pPr>
      <w:r>
        <w:rPr>
          <w:rFonts w:hint="eastAsia" w:ascii="黑体" w:hAnsi="黑体" w:eastAsia="黑体" w:cs="黑体"/>
        </w:rPr>
        <w:t>二、</w:t>
      </w:r>
      <w:r>
        <w:rPr>
          <w:rFonts w:hint="eastAsia" w:ascii="黑体" w:eastAsia="黑体" w:cs="仿宋_GB2312"/>
          <w:bCs/>
          <w:sz w:val="32"/>
          <w:szCs w:val="32"/>
          <w:lang w:bidi="ar-SA"/>
        </w:rPr>
        <w:t>主要建设内容（包括但不限于以下内容）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eastAsia="仿宋_GB2312" w:cs="仿宋_GB2312"/>
          <w:bCs/>
          <w:sz w:val="32"/>
          <w:szCs w:val="32"/>
          <w:lang w:bidi="ar-SA"/>
        </w:rPr>
      </w:pPr>
      <w:r>
        <w:rPr>
          <w:rFonts w:hint="eastAsia" w:ascii="仿宋_GB2312" w:eastAsia="仿宋_GB2312" w:cs="仿宋_GB2312"/>
          <w:b/>
          <w:bCs/>
          <w:sz w:val="32"/>
          <w:szCs w:val="32"/>
          <w:lang w:eastAsia="zh-CN" w:bidi="ar-SA"/>
        </w:rPr>
        <w:t>1.建设农产品产地冷藏保鲜基础设施。</w:t>
      </w:r>
      <w:r>
        <w:rPr>
          <w:rFonts w:hint="eastAsia" w:ascii="仿宋_GB2312" w:eastAsia="仿宋_GB2312" w:cs="仿宋_GB2312"/>
          <w:bCs/>
          <w:sz w:val="32"/>
          <w:szCs w:val="32"/>
          <w:lang w:bidi="ar-SA"/>
        </w:rPr>
        <w:t>加强统筹规划，以市场为导向</w:t>
      </w:r>
      <w:r>
        <w:rPr>
          <w:rFonts w:hint="eastAsia" w:ascii="仿宋_GB2312" w:eastAsia="仿宋_GB2312" w:cs="仿宋_GB2312"/>
          <w:sz w:val="32"/>
          <w:szCs w:val="32"/>
          <w:lang w:bidi="ar-SA"/>
        </w:rPr>
        <w:t>推进集群集聚建设，</w:t>
      </w:r>
      <w:r>
        <w:rPr>
          <w:rFonts w:hint="eastAsia" w:ascii="仿宋_GB2312" w:eastAsia="仿宋_GB2312" w:cs="仿宋_GB2312"/>
          <w:bCs/>
          <w:sz w:val="32"/>
          <w:szCs w:val="32"/>
          <w:lang w:bidi="ar-SA"/>
        </w:rPr>
        <w:t>支持家庭农场、农民合作社、村集体经济组织等建设规模适度的分选、预冷、冷藏、冷冻等设施设备，推动有条件的主体开展产后处理、源头保鲜、产地储藏、市场交易、物流配送等服务。统筹现有的县级农业产业园、示范园、电商孵化园或物流园区等，引导市场主体建设或改造具有集中采购和跨区域配送能力的产地低温直销配送中心，衔接产区、对接市场，为鲜活农产品主产区提供线上线下融合的分拣包装、贮藏保鲜、分拨配送等低温直销和品牌增值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2.培育运营主体。</w:t>
      </w:r>
      <w:r>
        <w:rPr>
          <w:rFonts w:hint="eastAsia" w:ascii="仿宋_GB2312" w:eastAsia="仿宋_GB2312" w:cs="仿宋_GB2312"/>
          <w:color w:val="000000"/>
          <w:sz w:val="32"/>
          <w:szCs w:val="32"/>
          <w:lang w:bidi="ar-SA"/>
        </w:rPr>
        <w:t>培育壮大农产品冷藏保鲜设施运营主体队伍，提高农产品市场流通效率。鼓励和支持新型农业经营主体，应用现代管理理念、标准和技术，建设和运营对接产业需求和市场供给的农产品产地仓储保鲜冷藏设施和产地低温直销配送中心，开展低温处理、集中储藏、规模配送等专业化、全程化服务。引导各类电子商务平台通过联合合作、平台对接、资源共享等市场化方式，推进仓储、运输、分拨、配送等资源集聚，实现精准服务和高效运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3.建立营销体系。</w:t>
      </w:r>
      <w:r>
        <w:rPr>
          <w:rFonts w:hint="eastAsia" w:ascii="仿宋_GB2312" w:eastAsia="仿宋_GB2312" w:cs="仿宋_GB2312"/>
          <w:sz w:val="32"/>
          <w:szCs w:val="32"/>
          <w:lang w:bidi="ar-SA"/>
        </w:rPr>
        <w:t>积极发展“新型经营主体+田头市场+批发市场”等模式，推动形成集中仓储、共同配送、仓配一体等新机制，满足城乡居民个性化、高品质生活需要。大力发展“互联网+”农产品仓储保鲜冷链物流，以信息平台为窗口开展业务协作，实现上游产品和下游服务的高效对接。鼓励发展生鲜电商、蔬果宅配、前置仓、产地仓等新型流通业态和直销配送、集中配送、共同配送等配送方式，提升鲜活农产品短链流通能力。</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s="仿宋_GB2312"/>
          <w:color w:val="000000"/>
          <w:sz w:val="32"/>
          <w:szCs w:val="32"/>
          <w:lang w:bidi="ar-SA"/>
        </w:rPr>
      </w:pPr>
      <w:r>
        <w:rPr>
          <w:rFonts w:hint="eastAsia" w:ascii="仿宋_GB2312" w:eastAsia="仿宋_GB2312" w:cs="仿宋_GB2312"/>
          <w:b/>
          <w:bCs/>
          <w:sz w:val="32"/>
          <w:szCs w:val="32"/>
          <w:lang w:eastAsia="zh-CN" w:bidi="ar-SA"/>
        </w:rPr>
        <w:t>4.增强科技支撑能力。</w:t>
      </w:r>
      <w:r>
        <w:rPr>
          <w:rFonts w:hint="eastAsia" w:ascii="仿宋_GB2312" w:eastAsia="仿宋_GB2312" w:cs="仿宋_GB2312"/>
          <w:sz w:val="32"/>
          <w:szCs w:val="32"/>
          <w:lang w:bidi="ar-SA"/>
        </w:rPr>
        <w:t>加强与科研院校、农业企业的合作，重点解决保鲜</w:t>
      </w:r>
      <w:r>
        <w:rPr>
          <w:rFonts w:hint="eastAsia" w:ascii="仿宋_GB2312" w:eastAsia="仿宋_GB2312" w:cs="仿宋_GB2312"/>
          <w:sz w:val="32"/>
          <w:szCs w:val="32"/>
          <w:lang w:eastAsia="zh-CN" w:bidi="ar-SA"/>
        </w:rPr>
        <w:t>技术</w:t>
      </w:r>
      <w:r>
        <w:rPr>
          <w:rFonts w:hint="eastAsia" w:ascii="仿宋_GB2312" w:eastAsia="仿宋_GB2312" w:cs="仿宋_GB2312"/>
          <w:sz w:val="32"/>
          <w:szCs w:val="32"/>
          <w:lang w:bidi="ar-SA"/>
        </w:rPr>
        <w:t>、专用设备、温控标准等关键问题，提升产地仓储、保鲜、装卸及商品化处理等作业效率和管理水平。充分发挥农民合作社、产业化龙头企业和农产品批发市场骨干作用，探索构建适应跨地域、反季节、大流通和多产融合的标准，逐步形成统一规范、符合市场需求、覆盖全产业链的集成技术和业态流程标准体系。开展</w:t>
      </w:r>
      <w:r>
        <w:rPr>
          <w:rFonts w:hint="eastAsia" w:ascii="仿宋_GB2312" w:eastAsia="仿宋_GB2312" w:cs="仿宋_GB2312"/>
          <w:color w:val="000000"/>
          <w:sz w:val="32"/>
          <w:szCs w:val="32"/>
          <w:lang w:bidi="ar-SA"/>
        </w:rPr>
        <w:t>农产品仓储保鲜冷藏设施信息采集，配备具有通信功能的信息自动采集监测传输设备，促进产品供给、市场需求、储运业务、订单追踪等信息集成共享、高效流动。</w:t>
      </w:r>
    </w:p>
    <w:p>
      <w:pPr>
        <w:keepNext w:val="0"/>
        <w:keepLines w:val="0"/>
        <w:pageBreakBefore w:val="0"/>
        <w:widowControl w:val="0"/>
        <w:kinsoku/>
        <w:wordWrap/>
        <w:overflowPunct/>
        <w:topLinePunct w:val="0"/>
        <w:autoSpaceDE/>
        <w:autoSpaceDN/>
        <w:bidi w:val="0"/>
        <w:adjustRightInd/>
        <w:snapToGrid/>
        <w:spacing w:line="600" w:lineRule="exact"/>
        <w:ind w:left="640" w:firstLine="0"/>
        <w:textAlignment w:val="auto"/>
        <w:rPr>
          <w:rFonts w:hint="eastAsia" w:ascii="黑体" w:eastAsia="黑体" w:cs="仿宋_GB2312"/>
          <w:bCs/>
          <w:color w:val="auto"/>
          <w:sz w:val="32"/>
          <w:szCs w:val="32"/>
          <w:lang w:bidi="ar-SA"/>
        </w:rPr>
      </w:pPr>
      <w:r>
        <w:rPr>
          <w:rFonts w:hint="eastAsia" w:ascii="黑体" w:eastAsia="黑体" w:cs="仿宋_GB2312"/>
          <w:bCs/>
          <w:color w:val="auto"/>
          <w:sz w:val="32"/>
          <w:szCs w:val="32"/>
          <w:lang w:eastAsia="zh-CN" w:bidi="ar-SA"/>
        </w:rPr>
        <w:t>三</w:t>
      </w:r>
      <w:r>
        <w:rPr>
          <w:rFonts w:hint="eastAsia" w:ascii="黑体" w:eastAsia="黑体" w:cs="仿宋_GB2312"/>
          <w:bCs/>
          <w:color w:val="auto"/>
          <w:sz w:val="32"/>
          <w:szCs w:val="32"/>
          <w:lang w:bidi="ar-SA"/>
        </w:rPr>
        <w:t>、其他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包括拟将出台的发展规划、配套政策措施、应急处置方案、技术标准以及运营模式等。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cs="黑体"/>
          <w:color w:val="000000"/>
          <w:sz w:val="32"/>
          <w:szCs w:val="32"/>
          <w:lang w:bidi="ar-SA"/>
        </w:rPr>
        <w:sectPr>
          <w:pgSz w:w="11907" w:h="16839"/>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lang w:bidi="ar-SA"/>
        </w:rPr>
      </w:pPr>
      <w:r>
        <w:rPr>
          <w:rFonts w:hint="eastAsia" w:ascii="宋体" w:hAnsi="宋体" w:eastAsia="宋体" w:cs="宋体"/>
          <w:b/>
          <w:bCs/>
          <w:sz w:val="44"/>
          <w:szCs w:val="44"/>
          <w:lang w:bidi="ar-SA"/>
        </w:rPr>
        <w:t>项目实施主体摸底汇总表</w:t>
      </w:r>
    </w:p>
    <w:p>
      <w:pPr>
        <w:bidi w:val="0"/>
        <w:rPr>
          <w:rFonts w:hint="eastAsia" w:eastAsia="仿宋_GB2312"/>
          <w:sz w:val="32"/>
          <w:szCs w:val="32"/>
          <w:lang w:eastAsia="zh-CN"/>
        </w:rPr>
      </w:pPr>
      <w:r>
        <w:rPr>
          <w:rFonts w:hint="eastAsia"/>
          <w:sz w:val="32"/>
          <w:szCs w:val="32"/>
          <w:lang w:eastAsia="zh-CN"/>
        </w:rPr>
        <w:t>项目县：</w:t>
      </w:r>
    </w:p>
    <w:tbl>
      <w:tblPr>
        <w:tblStyle w:val="4"/>
        <w:tblW w:w="13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490"/>
        <w:gridCol w:w="3270"/>
        <w:gridCol w:w="1902"/>
        <w:gridCol w:w="1980"/>
        <w:gridCol w:w="165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712"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eastAsia="zh-CN" w:bidi="ar-SA"/>
              </w:rPr>
            </w:pPr>
            <w:r>
              <w:rPr>
                <w:rFonts w:hint="eastAsia" w:cs="仿宋_GB2312"/>
                <w:sz w:val="28"/>
                <w:szCs w:val="28"/>
                <w:lang w:eastAsia="zh-CN" w:bidi="ar-SA"/>
              </w:rPr>
              <w:t>序号</w:t>
            </w:r>
          </w:p>
        </w:tc>
        <w:tc>
          <w:tcPr>
            <w:tcW w:w="24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建设主体名称</w:t>
            </w:r>
          </w:p>
        </w:tc>
        <w:tc>
          <w:tcPr>
            <w:tcW w:w="327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建设主体性质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（家庭农场/专业合作社/村集体经济组织）</w:t>
            </w:r>
          </w:p>
        </w:tc>
        <w:tc>
          <w:tcPr>
            <w:tcW w:w="1902"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冷藏保鲜设施建设类型</w:t>
            </w:r>
          </w:p>
        </w:tc>
        <w:tc>
          <w:tcPr>
            <w:tcW w:w="19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建设规模</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（立方米/吨）</w:t>
            </w:r>
          </w:p>
        </w:tc>
        <w:tc>
          <w:tcPr>
            <w:tcW w:w="165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预计总投资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（万元）</w:t>
            </w:r>
          </w:p>
        </w:tc>
        <w:tc>
          <w:tcPr>
            <w:tcW w:w="16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项目联系人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bidi="ar-SA"/>
              </w:rPr>
              <w:t>及</w:t>
            </w:r>
            <w:r>
              <w:rPr>
                <w:rFonts w:hint="eastAsia" w:ascii="仿宋_GB2312" w:eastAsia="仿宋_GB2312" w:cs="仿宋_GB2312"/>
                <w:sz w:val="28"/>
                <w:szCs w:val="28"/>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249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327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02"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98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5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c>
          <w:tcPr>
            <w:tcW w:w="1620" w:type="dxa"/>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仿宋_GB2312" w:eastAsia="仿宋_GB2312" w:cs="仿宋_GB2312"/>
                <w:sz w:val="32"/>
                <w:szCs w:val="32"/>
                <w:lang w:bidi="ar-SA"/>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lang w:eastAsia="zh-CN"/>
        </w:rPr>
      </w:pPr>
      <w:r>
        <w:rPr>
          <w:rFonts w:hint="eastAsia"/>
          <w:lang w:eastAsia="zh-CN"/>
        </w:rPr>
        <w:t>冷藏保鲜设施类型分为</w:t>
      </w:r>
      <w:r>
        <w:rPr>
          <w:rFonts w:hint="eastAsia"/>
        </w:rPr>
        <w:t>预冷库（压差式预冷库）、高温冷藏库、低温冷藏库、气调冷藏库</w:t>
      </w:r>
      <w:r>
        <w:rPr>
          <w:rFonts w:hint="eastAsia"/>
          <w:lang w:eastAsia="zh-CN"/>
        </w:rPr>
        <w:t>。</w:t>
      </w:r>
    </w:p>
    <w:p/>
    <w:sectPr>
      <w:pgSz w:w="16839" w:h="11907"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ZTAxZTViZDlhMTdmMDE0NDM1Y2M3YWVmZGVkYTYifQ=="/>
  </w:docVars>
  <w:rsids>
    <w:rsidRoot w:val="71C66B50"/>
    <w:rsid w:val="71C6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0"/>
      <w:sz w:val="32"/>
      <w:szCs w:val="32"/>
      <w:lang w:val="en-US" w:eastAsia="zh-CN" w:bidi="ar-SA"/>
    </w:rPr>
  </w:style>
  <w:style w:type="paragraph" w:styleId="2">
    <w:name w:val="heading 5"/>
    <w:basedOn w:val="1"/>
    <w:next w:val="1"/>
    <w:qFormat/>
    <w:uiPriority w:val="0"/>
    <w:pPr>
      <w:keepNext/>
      <w:keepLines/>
      <w:widowControl w:val="0"/>
      <w:spacing w:before="280" w:after="290" w:line="377" w:lineRule="auto"/>
      <w:outlineLvl w:val="4"/>
    </w:pPr>
    <w:rPr>
      <w:b/>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index 5"/>
    <w:basedOn w:val="1"/>
    <w:next w:val="1"/>
    <w:qFormat/>
    <w:uiPriority w:val="0"/>
    <w:pPr>
      <w:ind w:left="800" w:leftChars="800"/>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2022-07-20T07:48:00Z</dcterms:created>
  <dc:creator>拜尔</dc:creator>
  <cp:lastModifiedBy>拜尔</cp:lastModifiedBy>
  <dcterms:modified xsi:type="dcterms:W3CDTF">2022-07-20T07:52:14Z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C1A3A383F46B408DA678D52622D3C3F1</vt:lpwstr>
  </property>
</Properties>
</file>