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adjustRightInd w:val="0"/>
        <w:snapToGrid w:val="0"/>
        <w:spacing w:line="500" w:lineRule="exact"/>
        <w:jc w:val="center"/>
        <w:rPr>
          <w:rFonts w:ascii="宋体-PUA" w:hAnsi="宋体-PUA" w:eastAsia="宋体-PUA" w:cs="宋体-PUA"/>
          <w:b/>
          <w:bCs/>
          <w:kern w:val="0"/>
          <w:sz w:val="44"/>
          <w:szCs w:val="44"/>
        </w:rPr>
      </w:pPr>
      <w:r>
        <w:rPr>
          <w:rFonts w:hint="eastAsia" w:ascii="方正小标宋简体" w:hAnsi="方正小标宋简体" w:eastAsia="方正小标宋简体" w:cs="方正小标宋简体"/>
          <w:kern w:val="0"/>
          <w:sz w:val="44"/>
          <w:szCs w:val="44"/>
        </w:rPr>
        <w:t>关于抽检不合格项目的风险提示</w:t>
      </w:r>
    </w:p>
    <w:p>
      <w:pPr>
        <w:adjustRightInd w:val="0"/>
        <w:snapToGrid w:val="0"/>
        <w:spacing w:line="500" w:lineRule="exact"/>
        <w:rPr>
          <w:rFonts w:ascii="仿宋_GB2312" w:hAnsi="仿宋_GB2312" w:eastAsia="仿宋_GB2312" w:cs="仿宋_GB2312"/>
          <w:sz w:val="32"/>
          <w:szCs w:val="28"/>
          <w:shd w:val="clear" w:color="auto" w:fill="FFFFFF"/>
        </w:rPr>
      </w:pPr>
    </w:p>
    <w:p>
      <w:pPr>
        <w:adjustRightInd w:val="0"/>
        <w:snapToGrid w:val="0"/>
        <w:spacing w:line="480" w:lineRule="exact"/>
        <w:ind w:firstLine="640" w:firstLineChars="200"/>
        <w:rPr>
          <w:rFonts w:hint="eastAsia" w:ascii="黑体" w:hAnsi="黑体" w:eastAsia="黑体"/>
          <w:sz w:val="32"/>
          <w:szCs w:val="28"/>
        </w:rPr>
      </w:pPr>
      <w:r>
        <w:rPr>
          <w:rFonts w:hint="eastAsia" w:ascii="黑体" w:hAnsi="黑体" w:eastAsia="黑体"/>
          <w:sz w:val="32"/>
          <w:szCs w:val="28"/>
          <w:lang w:eastAsia="zh-CN"/>
        </w:rPr>
        <w:t>一</w:t>
      </w:r>
      <w:r>
        <w:rPr>
          <w:rFonts w:hint="eastAsia" w:ascii="黑体" w:hAnsi="黑体" w:eastAsia="黑体"/>
          <w:sz w:val="32"/>
          <w:szCs w:val="28"/>
        </w:rPr>
        <w:t>、其他污染问题</w:t>
      </w:r>
    </w:p>
    <w:p>
      <w:pPr>
        <w:pStyle w:val="5"/>
        <w:spacing w:line="480" w:lineRule="exact"/>
        <w:ind w:left="0" w:leftChars="0" w:firstLine="643"/>
        <w:rPr>
          <w:rFonts w:ascii="楷体" w:hAnsi="楷体" w:eastAsia="楷体" w:cs="楷体"/>
          <w:b/>
          <w:bCs/>
          <w:sz w:val="32"/>
          <w:szCs w:val="32"/>
        </w:rPr>
      </w:pPr>
      <w:r>
        <w:rPr>
          <w:rFonts w:hint="eastAsia" w:ascii="楷体" w:hAnsi="楷体" w:eastAsia="楷体" w:cs="楷体"/>
          <w:b/>
          <w:bCs/>
          <w:sz w:val="32"/>
          <w:szCs w:val="32"/>
        </w:rPr>
        <w:t>二氧化硫残留量</w:t>
      </w:r>
    </w:p>
    <w:p>
      <w:pPr>
        <w:pStyle w:val="5"/>
        <w:spacing w:line="480" w:lineRule="exact"/>
        <w:ind w:left="0" w:leftChars="0" w:firstLine="560"/>
        <w:rPr>
          <w:rFonts w:hint="eastAsia" w:ascii="仿宋_GB2312" w:hAnsi="宋体" w:eastAsia="仿宋_GB2312"/>
          <w:bCs/>
          <w:sz w:val="28"/>
          <w:szCs w:val="28"/>
        </w:rPr>
      </w:pPr>
      <w:r>
        <w:rPr>
          <w:rFonts w:hint="eastAsia" w:ascii="仿宋_GB2312" w:hAnsi="宋体" w:eastAsia="仿宋_GB2312"/>
          <w:bCs/>
          <w:sz w:val="28"/>
          <w:szCs w:val="28"/>
        </w:rPr>
        <w:t>硫酸盐作为食品添加剂可以起到漂白，防腐和抗氧化的功效，最大使用量以二氧化硫残留量计。二氧化硫残留量不合格原因一是生产经营者为了延长产品保质期、提升产品感官品相而违规违法使用食品添加剂，二是企业对GB2760《食品安全国家标准 食品添加剂使用标准》不熟悉，对自己生产的产品的所允许使用的食品添加剂类别及使用量不太清楚。对于GB 2760中允许使用的食品添加剂品类，在规定的范围内，规定的限量内合理使用，不会对人造成积累性危害，还可以有效改善食品性状，保持食品营养价值。超限量或超范围使用食品添加剂才会对人的饮食产生不可预知的危害。</w:t>
      </w:r>
    </w:p>
    <w:p>
      <w:pPr>
        <w:adjustRightInd w:val="0"/>
        <w:snapToGrid w:val="0"/>
        <w:spacing w:line="480" w:lineRule="exact"/>
        <w:rPr>
          <w:rFonts w:hint="eastAsia" w:ascii="黑体" w:hAnsi="黑体" w:eastAsia="黑体"/>
          <w:sz w:val="32"/>
          <w:szCs w:val="28"/>
        </w:rPr>
      </w:pPr>
      <w:r>
        <w:rPr>
          <w:rFonts w:hint="eastAsia" w:ascii="黑体" w:hAnsi="黑体" w:eastAsia="黑体"/>
          <w:sz w:val="32"/>
          <w:szCs w:val="28"/>
          <w:lang w:val="en-US" w:eastAsia="zh-CN"/>
        </w:rPr>
        <w:t xml:space="preserve">  </w:t>
      </w:r>
      <w:r>
        <w:rPr>
          <w:rFonts w:hint="eastAsia" w:ascii="黑体" w:hAnsi="黑体" w:eastAsia="黑体"/>
          <w:sz w:val="32"/>
          <w:szCs w:val="28"/>
          <w:lang w:eastAsia="zh-CN"/>
        </w:rPr>
        <w:t>二</w:t>
      </w:r>
      <w:r>
        <w:rPr>
          <w:rFonts w:hint="eastAsia" w:ascii="黑体" w:hAnsi="黑体" w:eastAsia="黑体"/>
          <w:sz w:val="32"/>
          <w:szCs w:val="28"/>
        </w:rPr>
        <w:t>、添加剂指标</w:t>
      </w:r>
    </w:p>
    <w:p>
      <w:pPr>
        <w:pStyle w:val="13"/>
        <w:snapToGrid w:val="0"/>
        <w:spacing w:line="48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脱氢乙酸及其钠盐(以脱氢乙酸计)</w:t>
      </w:r>
    </w:p>
    <w:p>
      <w:pPr>
        <w:pStyle w:val="5"/>
        <w:spacing w:line="50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脱氢乙酸及其钠盐作为一种广谱食品防腐剂，对霉菌和酵母菌的抑制能力强，为苯甲酸钠的 2-10 倍，在高剂量使用时能抑制细菌。根据《食品安全国家标准 食品添加剂使用标准》（GB 2760-2014）规定，糕点中过氧化值最大限量为0.50g/kg。脱氢乙酸超标的原因可能是个别生产经营企业为防止食品腐败变质，超量使用了该添加剂，或者其使用的复配添加剂中该添加剂含量较高；也可能是在添加过程中未计量或计量不准。脱氢乙酸毒性较低，按标准规定的范围和使用量使用是安全的。脱氢乙酸及其钠盐能被人体完全吸收，并能抑制人体内多种氧化酶，长期过量摄入脱氢乙酸及其钠盐会危害人体健康。</w:t>
      </w:r>
    </w:p>
    <w:p>
      <w:pPr>
        <w:pStyle w:val="5"/>
        <w:spacing w:line="480" w:lineRule="exact"/>
        <w:ind w:left="0" w:leftChars="0" w:firstLine="560"/>
        <w:rPr>
          <w:rFonts w:hint="eastAsia" w:ascii="仿宋_GB2312" w:hAnsi="宋体" w:eastAsia="仿宋_GB2312"/>
          <w:bCs/>
          <w:sz w:val="28"/>
          <w:szCs w:val="28"/>
        </w:rPr>
      </w:pPr>
      <w:bookmarkStart w:id="0" w:name="_GoBack"/>
      <w:bookmarkEnd w:id="0"/>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13BC"/>
    <w:rsid w:val="000779E6"/>
    <w:rsid w:val="00127A0A"/>
    <w:rsid w:val="0019184C"/>
    <w:rsid w:val="002A03A1"/>
    <w:rsid w:val="00366203"/>
    <w:rsid w:val="003D5731"/>
    <w:rsid w:val="0053670E"/>
    <w:rsid w:val="006C1D32"/>
    <w:rsid w:val="007C15FE"/>
    <w:rsid w:val="008E4384"/>
    <w:rsid w:val="009D4BBD"/>
    <w:rsid w:val="00B328C6"/>
    <w:rsid w:val="00B9409C"/>
    <w:rsid w:val="00C25286"/>
    <w:rsid w:val="00CD13BC"/>
    <w:rsid w:val="00E8273A"/>
    <w:rsid w:val="00F4123F"/>
    <w:rsid w:val="169D04B7"/>
    <w:rsid w:val="2A8D1B6C"/>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Indent"/>
    <w:basedOn w:val="1"/>
    <w:link w:val="10"/>
    <w:unhideWhenUsed/>
    <w:uiPriority w:val="99"/>
    <w:pPr>
      <w:spacing w:after="120"/>
      <w:ind w:left="420" w:leftChars="200"/>
    </w:p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Body Text First Indent 2"/>
    <w:basedOn w:val="3"/>
    <w:link w:val="11"/>
    <w:qFormat/>
    <w:uiPriority w:val="0"/>
    <w:pPr>
      <w:ind w:firstLine="420" w:firstLineChars="200"/>
    </w:pPr>
    <w:rPr>
      <w:kern w:val="0"/>
      <w:szCs w:val="20"/>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iCs/>
    </w:rPr>
  </w:style>
  <w:style w:type="character" w:customStyle="1" w:styleId="10">
    <w:name w:val="正文文本缩进 Char"/>
    <w:basedOn w:val="7"/>
    <w:link w:val="3"/>
    <w:semiHidden/>
    <w:qFormat/>
    <w:uiPriority w:val="99"/>
    <w:rPr>
      <w:rFonts w:ascii="Calibri" w:hAnsi="Calibri" w:eastAsia="宋体" w:cs="黑体"/>
      <w:szCs w:val="24"/>
    </w:rPr>
  </w:style>
  <w:style w:type="character" w:customStyle="1" w:styleId="11">
    <w:name w:val="正文首行缩进 2 Char"/>
    <w:basedOn w:val="10"/>
    <w:link w:val="5"/>
    <w:qFormat/>
    <w:uiPriority w:val="0"/>
    <w:rPr>
      <w:rFonts w:ascii="Calibri" w:hAnsi="Calibri" w:eastAsia="宋体" w:cs="黑体"/>
      <w:kern w:val="0"/>
      <w:szCs w:val="20"/>
    </w:rPr>
  </w:style>
  <w:style w:type="paragraph" w:customStyle="1" w:styleId="12">
    <w:name w:val="正文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character" w:customStyle="1" w:styleId="14">
    <w:name w:val="页眉 Char"/>
    <w:basedOn w:val="7"/>
    <w:link w:val="6"/>
    <w:qFormat/>
    <w:uiPriority w:val="99"/>
    <w:rPr>
      <w:rFonts w:ascii="Calibri" w:hAnsi="Calibri" w:eastAsia="宋体" w:cs="黑体"/>
      <w:sz w:val="18"/>
      <w:szCs w:val="18"/>
    </w:rPr>
  </w:style>
  <w:style w:type="character" w:customStyle="1" w:styleId="15">
    <w:name w:val="页脚 Char"/>
    <w:basedOn w:val="7"/>
    <w:link w:val="4"/>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333</Words>
  <Characters>1903</Characters>
  <Lines>15</Lines>
  <Paragraphs>4</Paragraphs>
  <ScaleCrop>false</ScaleCrop>
  <LinksUpToDate>false</LinksUpToDate>
  <CharactersWithSpaces>2232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2022-09-27T03:25:00Z</dcterms:created>
  <dc:creator>张雅丽</dc:creator>
  <cp:lastModifiedBy>tzk</cp:lastModifiedBy>
  <dcterms:modified xsi:type="dcterms:W3CDTF">2024-02-27T07:16:09Z</dcterms:modified>
  <dc:title>附件3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