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8A1C2">
      <w:pPr>
        <w:spacing w:line="560" w:lineRule="exact"/>
        <w:jc w:val="center"/>
        <w:outlineLvl w:val="0"/>
        <w:rPr>
          <w:rFonts w:ascii="宋体" w:cs="宋体"/>
          <w:sz w:val="44"/>
          <w:szCs w:val="44"/>
        </w:rPr>
      </w:pPr>
      <w:r>
        <w:rPr>
          <w:rFonts w:hint="eastAsia" w:ascii="黑体" w:hAnsi="黑体" w:eastAsia="黑体" w:cs="黑体"/>
          <w:bCs/>
          <w:color w:val="000000"/>
          <w:sz w:val="44"/>
          <w:szCs w:val="44"/>
          <w:lang w:eastAsia="zh-Hans"/>
        </w:rPr>
        <w:t>仓山</w:t>
      </w:r>
      <w:r>
        <w:rPr>
          <w:rFonts w:hint="eastAsia" w:ascii="黑体" w:hAnsi="黑体" w:eastAsia="黑体" w:cs="黑体"/>
          <w:bCs/>
          <w:color w:val="000000"/>
          <w:sz w:val="44"/>
          <w:szCs w:val="44"/>
          <w:lang w:eastAsia="zh-CN"/>
        </w:rPr>
        <w:t>区建新镇</w:t>
      </w:r>
      <w:r>
        <w:rPr>
          <w:rFonts w:hint="eastAsia" w:ascii="黑体" w:hAnsi="黑体" w:eastAsia="黑体" w:cs="黑体"/>
          <w:bCs/>
          <w:color w:val="000000"/>
          <w:sz w:val="44"/>
          <w:szCs w:val="44"/>
        </w:rPr>
        <w:t>“</w:t>
      </w:r>
      <w:r>
        <w:rPr>
          <w:rFonts w:hint="eastAsia" w:ascii="黑体" w:hAnsi="黑体" w:eastAsia="黑体" w:cs="黑体"/>
          <w:bCs/>
          <w:color w:val="000000"/>
          <w:sz w:val="44"/>
          <w:szCs w:val="44"/>
          <w:lang w:val="en-US" w:eastAsia="zh-CN"/>
        </w:rPr>
        <w:t>3.5</w:t>
      </w:r>
      <w:r>
        <w:rPr>
          <w:rFonts w:hint="eastAsia" w:ascii="黑体" w:hAnsi="黑体" w:eastAsia="黑体" w:cs="黑体"/>
          <w:bCs/>
          <w:color w:val="000000"/>
          <w:sz w:val="44"/>
          <w:szCs w:val="44"/>
        </w:rPr>
        <w:t>”</w:t>
      </w:r>
      <w:r>
        <w:rPr>
          <w:rFonts w:hint="eastAsia" w:ascii="黑体" w:hAnsi="黑体" w:eastAsia="黑体" w:cs="黑体"/>
          <w:bCs/>
          <w:color w:val="000000"/>
          <w:sz w:val="44"/>
          <w:szCs w:val="44"/>
          <w:lang w:eastAsia="zh-Hans"/>
        </w:rPr>
        <w:t>一般</w:t>
      </w:r>
      <w:r>
        <w:rPr>
          <w:rFonts w:hint="eastAsia" w:ascii="黑体" w:hAnsi="黑体" w:eastAsia="黑体" w:cs="黑体"/>
          <w:bCs/>
          <w:color w:val="000000"/>
          <w:sz w:val="44"/>
          <w:szCs w:val="44"/>
          <w:lang w:eastAsia="zh-CN"/>
        </w:rPr>
        <w:t>道路</w:t>
      </w:r>
      <w:r>
        <w:rPr>
          <w:rFonts w:hint="eastAsia" w:ascii="黑体" w:hAnsi="黑体" w:eastAsia="黑体" w:cs="黑体"/>
          <w:bCs/>
          <w:color w:val="000000"/>
          <w:sz w:val="44"/>
          <w:szCs w:val="44"/>
          <w:lang w:eastAsia="zh-Hans"/>
        </w:rPr>
        <w:t>交通</w:t>
      </w:r>
      <w:r>
        <w:rPr>
          <w:rFonts w:hint="eastAsia" w:ascii="黑体" w:hAnsi="黑体" w:eastAsia="黑体" w:cs="黑体"/>
          <w:bCs/>
          <w:color w:val="000000"/>
          <w:sz w:val="44"/>
          <w:szCs w:val="44"/>
        </w:rPr>
        <w:t>事故调查报告</w:t>
      </w:r>
    </w:p>
    <w:p w14:paraId="2D7D967A">
      <w:pPr>
        <w:spacing w:line="600" w:lineRule="exact"/>
        <w:jc w:val="center"/>
        <w:rPr>
          <w:rFonts w:ascii="仿宋" w:hAnsi="仿宋" w:eastAsia="仿宋" w:cs="仿宋"/>
          <w:sz w:val="32"/>
          <w:szCs w:val="32"/>
        </w:rPr>
      </w:pPr>
    </w:p>
    <w:p w14:paraId="6D50AED8">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2026年3月5日22时04</w:t>
      </w:r>
      <w:r>
        <w:rPr>
          <w:rFonts w:hint="eastAsia" w:ascii="仿宋" w:hAnsi="仿宋" w:eastAsia="仿宋" w:cs="仿宋"/>
          <w:sz w:val="32"/>
          <w:szCs w:val="32"/>
          <w:lang w:val="en-US" w:eastAsia="zh-Hans"/>
        </w:rPr>
        <w:t>分</w:t>
      </w:r>
      <w:r>
        <w:rPr>
          <w:rFonts w:hint="eastAsia" w:ascii="仿宋" w:hAnsi="仿宋" w:eastAsia="仿宋" w:cs="仿宋"/>
          <w:sz w:val="32"/>
          <w:szCs w:val="32"/>
          <w:lang w:val="en-US" w:eastAsia="zh-CN"/>
        </w:rPr>
        <w:t>许，仓山区妙峰路高架桥由西往东方向行驶至洪山大桥辅路合流处发生一起</w:t>
      </w:r>
      <w:r>
        <w:rPr>
          <w:rFonts w:hint="eastAsia" w:ascii="仿宋" w:hAnsi="仿宋" w:eastAsia="仿宋" w:cs="仿宋"/>
          <w:sz w:val="32"/>
          <w:szCs w:val="32"/>
          <w:lang w:val="en-US" w:eastAsia="zh-Hans"/>
        </w:rPr>
        <w:t>交通</w:t>
      </w:r>
      <w:r>
        <w:rPr>
          <w:rFonts w:hint="eastAsia" w:ascii="仿宋" w:hAnsi="仿宋" w:eastAsia="仿宋" w:cs="仿宋"/>
          <w:sz w:val="32"/>
          <w:szCs w:val="32"/>
          <w:lang w:val="en-US" w:eastAsia="zh-CN"/>
        </w:rPr>
        <w:t>事故，造成1</w:t>
      </w:r>
      <w:r>
        <w:rPr>
          <w:rFonts w:hint="eastAsia" w:ascii="仿宋" w:hAnsi="仿宋" w:eastAsia="仿宋" w:cs="仿宋"/>
          <w:sz w:val="32"/>
          <w:szCs w:val="32"/>
          <w:lang w:val="en-US" w:eastAsia="zh-Hans"/>
        </w:rPr>
        <w:t>人死亡</w:t>
      </w:r>
      <w:r>
        <w:rPr>
          <w:rFonts w:hint="eastAsia" w:ascii="仿宋" w:hAnsi="仿宋" w:eastAsia="仿宋" w:cs="仿宋"/>
          <w:sz w:val="32"/>
          <w:szCs w:val="32"/>
          <w:lang w:val="en-US" w:eastAsia="zh-CN"/>
        </w:rPr>
        <w:t>，直接经济损失约100万。</w:t>
      </w:r>
    </w:p>
    <w:p w14:paraId="187D2803">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根</w:t>
      </w:r>
      <w:r>
        <w:rPr>
          <w:rFonts w:hint="eastAsia" w:ascii="仿宋" w:hAnsi="仿宋" w:eastAsia="仿宋" w:cs="仿宋"/>
          <w:sz w:val="32"/>
          <w:szCs w:val="32"/>
          <w:lang w:val="en-US" w:eastAsia="zh-CN"/>
        </w:rPr>
        <w:t>据《生产安全事故报告和调查处理条例》（国务院令</w:t>
      </w:r>
      <w:bookmarkStart w:id="0" w:name="_GoBack"/>
      <w:bookmarkEnd w:id="0"/>
      <w:r>
        <w:rPr>
          <w:rFonts w:hint="eastAsia" w:ascii="仿宋" w:hAnsi="仿宋" w:eastAsia="仿宋" w:cs="仿宋"/>
          <w:sz w:val="32"/>
          <w:szCs w:val="32"/>
          <w:lang w:val="en-US" w:eastAsia="zh-CN"/>
        </w:rPr>
        <w:t>第493号），受仓山区人民政府委托，由区应急管理局陈宏剑副局长担任组长，组织仓山区应急管理局、福州市交警支队仓山大队、福州市道路运输事业发展中心仓山分中心、福州市交通运输综合执法支队五大队、仓山区总工会、仓山区人力资源和社会保障局、建新镇人民政府等单位组成事故调查组，并邀请晋安区人民政府、仓山区监察委参加，对</w:t>
      </w:r>
      <w:r>
        <w:rPr>
          <w:rFonts w:hint="eastAsia" w:ascii="仿宋" w:hAnsi="仿宋" w:eastAsia="仿宋" w:cs="仿宋"/>
          <w:sz w:val="32"/>
          <w:szCs w:val="32"/>
          <w:lang w:val="en-US" w:eastAsia="zh-Hans"/>
        </w:rPr>
        <w:t>仓山</w:t>
      </w:r>
      <w:r>
        <w:rPr>
          <w:rFonts w:hint="eastAsia" w:ascii="仿宋" w:hAnsi="仿宋" w:eastAsia="仿宋" w:cs="仿宋"/>
          <w:sz w:val="32"/>
          <w:szCs w:val="32"/>
          <w:lang w:val="en-US" w:eastAsia="zh-CN"/>
        </w:rPr>
        <w:t>区建新镇“3•5”</w:t>
      </w:r>
      <w:r>
        <w:rPr>
          <w:rFonts w:hint="eastAsia" w:ascii="仿宋" w:hAnsi="仿宋" w:eastAsia="仿宋" w:cs="仿宋"/>
          <w:sz w:val="32"/>
          <w:szCs w:val="32"/>
          <w:lang w:val="en-US" w:eastAsia="zh-Hans"/>
        </w:rPr>
        <w:t>一般</w:t>
      </w:r>
      <w:r>
        <w:rPr>
          <w:rFonts w:hint="eastAsia" w:ascii="仿宋" w:hAnsi="仿宋" w:eastAsia="仿宋" w:cs="仿宋"/>
          <w:sz w:val="32"/>
          <w:szCs w:val="32"/>
          <w:lang w:val="en-US" w:eastAsia="zh-CN"/>
        </w:rPr>
        <w:t>交通事故进行调查。</w:t>
      </w:r>
    </w:p>
    <w:p w14:paraId="7AFB22FA">
      <w:p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经调查认定，</w:t>
      </w:r>
      <w:r>
        <w:rPr>
          <w:rFonts w:hint="eastAsia" w:ascii="仿宋" w:hAnsi="仿宋" w:eastAsia="仿宋" w:cs="仿宋"/>
          <w:sz w:val="32"/>
          <w:szCs w:val="32"/>
          <w:lang w:val="en-US" w:eastAsia="zh-Hans"/>
        </w:rPr>
        <w:t>仓山</w:t>
      </w:r>
      <w:r>
        <w:rPr>
          <w:rFonts w:hint="eastAsia" w:ascii="仿宋" w:hAnsi="仿宋" w:eastAsia="仿宋" w:cs="仿宋"/>
          <w:sz w:val="32"/>
          <w:szCs w:val="32"/>
          <w:lang w:val="en-US" w:eastAsia="zh-CN"/>
        </w:rPr>
        <w:t>区建新镇“3•5”一般道路交通事故是一起因无号牌两轮电动车驾驶员进入封闭的机动车专用道行驶，且违反交通标线指示穿越导流线后连续变更车道行驶，同时小型轿车驾驶员在道路上行驶过程中观看手机导航，未注意观察前方路面情况，且在夜间行驶时车速超过限速标志表明的最高时速，致其临近发现前方的无号牌两轮电动车时采取措施不及，导致小型轿车右前侧车身与无号牌两轮电动车左后侧车身发生碰撞，造成的一般生产经营性道路交通事故。</w:t>
      </w:r>
    </w:p>
    <w:p w14:paraId="2397E64D">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一、事故基本情况</w:t>
      </w:r>
    </w:p>
    <w:p w14:paraId="6A1CF1C4">
      <w:pPr>
        <w:pStyle w:val="19"/>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rPr>
        <w:t>（一）</w:t>
      </w:r>
      <w:r>
        <w:rPr>
          <w:rFonts w:hint="eastAsia" w:ascii="楷体" w:hAnsi="楷体" w:eastAsia="楷体" w:cs="楷体"/>
          <w:sz w:val="32"/>
          <w:szCs w:val="32"/>
          <w:lang w:val="en-US" w:eastAsia="zh-CN"/>
        </w:rPr>
        <w:t>事发路段基本情况</w:t>
      </w:r>
    </w:p>
    <w:p w14:paraId="57BDA2D1">
      <w:pPr>
        <w:pStyle w:val="19"/>
        <w:ind w:left="0" w:leftChars="0" w:firstLine="0" w:firstLine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 xml:space="preserve">    </w:t>
      </w:r>
      <w:r>
        <w:rPr>
          <w:rFonts w:hint="eastAsia" w:ascii="仿宋" w:hAnsi="仿宋" w:eastAsia="仿宋" w:cs="仿宋"/>
          <w:kern w:val="2"/>
          <w:sz w:val="32"/>
          <w:szCs w:val="32"/>
          <w:lang w:val="en-US" w:eastAsia="zh-CN" w:bidi="ar-SA"/>
        </w:rPr>
        <w:t>交通事故现场位于G316国道福兰线洪山大桥桥面。洪山大桥事发路段呈东西走向，双向八条机动车道，道路两侧均设有非机动车道及人行道，道路中央由混凝土护栏隔离，机、非车道之间由金属护栏隔离。有交通标志、标线，事发路段限速60公里/小时。沥青路面，路面完好，路表干燥。夜间有路灯照明，视线一般。</w:t>
      </w:r>
    </w:p>
    <w:p w14:paraId="474891AE">
      <w:pPr>
        <w:ind w:firstLine="640" w:firstLineChars="200"/>
        <w:rPr>
          <w:rFonts w:ascii="楷体" w:hAnsi="楷体" w:eastAsia="楷体" w:cs="楷体"/>
          <w:szCs w:val="32"/>
        </w:rPr>
      </w:pPr>
      <w:r>
        <w:rPr>
          <w:rFonts w:hint="eastAsia" w:ascii="楷体" w:hAnsi="楷体" w:eastAsia="楷体" w:cs="楷体"/>
          <w:sz w:val="32"/>
          <w:szCs w:val="32"/>
        </w:rPr>
        <w:t>（二）事故相关</w:t>
      </w:r>
      <w:r>
        <w:rPr>
          <w:rFonts w:hint="eastAsia" w:ascii="楷体" w:hAnsi="楷体" w:eastAsia="楷体" w:cs="楷体"/>
          <w:sz w:val="32"/>
          <w:szCs w:val="32"/>
          <w:lang w:val="en-US" w:eastAsia="zh-CN"/>
        </w:rPr>
        <w:t>车辆、人员、单位</w:t>
      </w:r>
      <w:r>
        <w:rPr>
          <w:rFonts w:hint="eastAsia" w:ascii="楷体" w:hAnsi="楷体" w:eastAsia="楷体" w:cs="楷体"/>
          <w:sz w:val="32"/>
          <w:szCs w:val="32"/>
        </w:rPr>
        <w:t>基本情况</w:t>
      </w:r>
      <w:r>
        <w:rPr>
          <w:rFonts w:ascii="仿宋" w:hAnsi="仿宋" w:eastAsia="仿宋" w:cs="黑体"/>
          <w:b/>
          <w:sz w:val="32"/>
          <w:szCs w:val="32"/>
        </w:rPr>
        <w:tab/>
      </w:r>
    </w:p>
    <w:p w14:paraId="3987A9EA">
      <w:pPr>
        <w:pStyle w:val="6"/>
        <w:spacing w:line="600" w:lineRule="exact"/>
        <w:ind w:firstLine="640" w:firstLineChars="200"/>
        <w:jc w:val="both"/>
        <w:rPr>
          <w:rFonts w:hint="eastAsia" w:ascii="仿宋" w:hAnsi="仿宋" w:eastAsia="仿宋" w:cs="黑体"/>
          <w:bCs/>
          <w:sz w:val="32"/>
          <w:szCs w:val="32"/>
        </w:rPr>
      </w:pPr>
      <w:r>
        <w:rPr>
          <w:rFonts w:hint="eastAsia" w:ascii="仿宋" w:hAnsi="仿宋" w:eastAsia="仿宋" w:cs="黑体"/>
          <w:bCs/>
          <w:sz w:val="32"/>
          <w:szCs w:val="32"/>
        </w:rPr>
        <w:t>1、</w:t>
      </w:r>
      <w:r>
        <w:rPr>
          <w:rFonts w:hint="eastAsia" w:ascii="仿宋" w:hAnsi="仿宋" w:eastAsia="仿宋" w:cs="黑体"/>
          <w:bCs/>
          <w:sz w:val="32"/>
          <w:szCs w:val="32"/>
          <w:lang w:eastAsia="zh-CN"/>
        </w:rPr>
        <w:t>无号牌两</w:t>
      </w:r>
      <w:r>
        <w:rPr>
          <w:rFonts w:hint="eastAsia" w:ascii="仿宋" w:hAnsi="仿宋" w:eastAsia="仿宋" w:cs="黑体"/>
          <w:bCs/>
          <w:sz w:val="32"/>
          <w:szCs w:val="32"/>
        </w:rPr>
        <w:t>轮电动车，颜色：</w:t>
      </w:r>
      <w:r>
        <w:rPr>
          <w:rFonts w:hint="eastAsia" w:ascii="仿宋" w:hAnsi="仿宋" w:eastAsia="仿宋" w:cs="黑体"/>
          <w:bCs/>
          <w:sz w:val="32"/>
          <w:szCs w:val="32"/>
          <w:lang w:eastAsia="zh-CN"/>
        </w:rPr>
        <w:t>蓝色</w:t>
      </w:r>
      <w:r>
        <w:rPr>
          <w:rFonts w:hint="eastAsia" w:ascii="仿宋" w:hAnsi="仿宋" w:eastAsia="仿宋" w:cs="黑体"/>
          <w:bCs/>
          <w:sz w:val="32"/>
          <w:szCs w:val="32"/>
        </w:rPr>
        <w:t>，</w:t>
      </w:r>
      <w:r>
        <w:rPr>
          <w:rFonts w:hint="eastAsia" w:ascii="仿宋" w:hAnsi="仿宋" w:eastAsia="仿宋" w:cs="黑体"/>
          <w:bCs/>
          <w:sz w:val="32"/>
          <w:szCs w:val="32"/>
          <w:lang w:eastAsia="zh-CN"/>
        </w:rPr>
        <w:t>品牌：未知，车架号：</w:t>
      </w:r>
      <w:r>
        <w:rPr>
          <w:rFonts w:hint="eastAsia" w:ascii="仿宋" w:hAnsi="仿宋" w:eastAsia="仿宋" w:cs="黑体"/>
          <w:bCs/>
          <w:sz w:val="32"/>
          <w:szCs w:val="32"/>
          <w:lang w:val="en-US" w:eastAsia="zh-CN"/>
        </w:rPr>
        <w:t>202822109175477，</w:t>
      </w:r>
      <w:r>
        <w:rPr>
          <w:rFonts w:hint="eastAsia" w:ascii="仿宋" w:hAnsi="仿宋" w:eastAsia="仿宋" w:cs="黑体"/>
          <w:bCs/>
          <w:sz w:val="32"/>
          <w:szCs w:val="32"/>
        </w:rPr>
        <w:t>所有人：</w:t>
      </w:r>
      <w:r>
        <w:rPr>
          <w:rFonts w:hint="eastAsia" w:ascii="仿宋" w:hAnsi="仿宋" w:eastAsia="仿宋" w:cs="黑体"/>
          <w:bCs/>
          <w:sz w:val="32"/>
          <w:szCs w:val="32"/>
          <w:lang w:eastAsia="zh-CN"/>
        </w:rPr>
        <w:t>江惠珠</w:t>
      </w:r>
      <w:r>
        <w:rPr>
          <w:rFonts w:hint="eastAsia" w:ascii="仿宋" w:hAnsi="仿宋" w:eastAsia="仿宋" w:cs="黑体"/>
          <w:bCs/>
          <w:sz w:val="32"/>
          <w:szCs w:val="32"/>
        </w:rPr>
        <w:t>，身份证号</w:t>
      </w:r>
      <w:r>
        <w:rPr>
          <w:rFonts w:hint="eastAsia" w:ascii="仿宋" w:hAnsi="仿宋" w:eastAsia="仿宋" w:cs="黑体"/>
          <w:bCs/>
          <w:sz w:val="32"/>
          <w:szCs w:val="32"/>
          <w:lang w:eastAsia="zh-CN"/>
        </w:rPr>
        <w:t>：</w:t>
      </w:r>
      <w:r>
        <w:rPr>
          <w:rFonts w:hint="eastAsia" w:ascii="仿宋" w:hAnsi="仿宋" w:eastAsia="仿宋" w:cs="黑体"/>
          <w:bCs/>
          <w:sz w:val="32"/>
          <w:szCs w:val="32"/>
          <w:lang w:val="en-US" w:eastAsia="zh-CN"/>
        </w:rPr>
        <w:t>350XXXXXXXXXXXXXXX</w:t>
      </w:r>
      <w:r>
        <w:rPr>
          <w:rFonts w:hint="eastAsia" w:ascii="仿宋" w:hAnsi="仿宋" w:eastAsia="仿宋" w:cs="黑体"/>
          <w:bCs/>
          <w:sz w:val="32"/>
          <w:szCs w:val="32"/>
        </w:rPr>
        <w:t>，</w:t>
      </w:r>
      <w:r>
        <w:rPr>
          <w:rFonts w:hint="eastAsia" w:ascii="仿宋" w:hAnsi="仿宋" w:eastAsia="仿宋" w:cs="黑体"/>
          <w:bCs/>
          <w:sz w:val="32"/>
          <w:szCs w:val="32"/>
          <w:lang w:val="en-US" w:eastAsia="zh-CN"/>
        </w:rPr>
        <w:t>户籍地址</w:t>
      </w:r>
      <w:r>
        <w:rPr>
          <w:rFonts w:hint="eastAsia" w:ascii="仿宋" w:hAnsi="仿宋" w:eastAsia="仿宋" w:cs="黑体"/>
          <w:bCs/>
          <w:sz w:val="32"/>
          <w:szCs w:val="32"/>
        </w:rPr>
        <w:t>：福建省</w:t>
      </w:r>
      <w:r>
        <w:rPr>
          <w:rFonts w:hint="eastAsia" w:ascii="仿宋" w:hAnsi="仿宋" w:eastAsia="仿宋" w:cs="黑体"/>
          <w:bCs/>
          <w:sz w:val="32"/>
          <w:szCs w:val="32"/>
          <w:lang w:eastAsia="zh-CN"/>
        </w:rPr>
        <w:t>闽侯县洋里乡新见村大厝</w:t>
      </w:r>
      <w:r>
        <w:rPr>
          <w:rFonts w:hint="eastAsia" w:ascii="仿宋" w:hAnsi="仿宋" w:eastAsia="仿宋" w:cs="黑体"/>
          <w:bCs/>
          <w:sz w:val="32"/>
          <w:szCs w:val="32"/>
          <w:lang w:val="en-US" w:eastAsia="zh-CN"/>
        </w:rPr>
        <w:t>8号</w:t>
      </w:r>
      <w:r>
        <w:rPr>
          <w:rFonts w:hint="eastAsia" w:ascii="仿宋" w:hAnsi="仿宋" w:eastAsia="仿宋" w:cs="黑体"/>
          <w:bCs/>
          <w:sz w:val="32"/>
          <w:szCs w:val="32"/>
        </w:rPr>
        <w:t>，</w:t>
      </w:r>
      <w:r>
        <w:rPr>
          <w:rFonts w:hint="eastAsia" w:ascii="仿宋" w:hAnsi="仿宋" w:eastAsia="仿宋" w:cs="黑体"/>
          <w:bCs/>
          <w:sz w:val="32"/>
          <w:szCs w:val="32"/>
          <w:lang w:val="en-US" w:eastAsia="zh-CN"/>
        </w:rPr>
        <w:t>车辆在事故中受损</w:t>
      </w:r>
      <w:r>
        <w:rPr>
          <w:rFonts w:hint="eastAsia" w:ascii="仿宋" w:hAnsi="仿宋" w:eastAsia="仿宋" w:cs="黑体"/>
          <w:bCs/>
          <w:sz w:val="32"/>
          <w:szCs w:val="32"/>
        </w:rPr>
        <w:t>。</w:t>
      </w:r>
    </w:p>
    <w:p w14:paraId="3F7554E8">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2、闽ADB8606号小型轿车，所有人：福州臻耀弘汽车服务有限公司，车辆登记住址：福建省福州市晋安区新店镇赤星路96号福州金城民营科技工业集中区5号楼2层201厂房，</w:t>
      </w:r>
      <w:r>
        <w:rPr>
          <w:rFonts w:hint="eastAsia" w:ascii="仿宋" w:hAnsi="仿宋" w:eastAsia="仿宋" w:cs="黑体"/>
          <w:bCs/>
          <w:sz w:val="32"/>
          <w:szCs w:val="32"/>
          <w:lang w:eastAsia="zh-CN"/>
        </w:rPr>
        <w:t>车架号</w:t>
      </w:r>
      <w:r>
        <w:rPr>
          <w:rFonts w:hint="eastAsia" w:ascii="仿宋" w:hAnsi="仿宋" w:eastAsia="仿宋" w:cs="黑体"/>
          <w:bCs/>
          <w:sz w:val="32"/>
          <w:szCs w:val="32"/>
          <w:lang w:val="en-US" w:eastAsia="zh-CN"/>
        </w:rPr>
        <w:t>：LC0CE6DD8N1104516，交强险承保公司：中国大地财产保险股份有限公司福州中心支公司，交强险保单号：PDFA25350100350000000786，商业险承保公司：中国人民财产保险股份有限公司福州分公司，商业险保单号：PDAA202535110000073049，该车年检有效期至2026年6月30日，车辆在事故中受损。</w:t>
      </w:r>
    </w:p>
    <w:p w14:paraId="41BC62A2">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黑体"/>
          <w:bCs/>
          <w:sz w:val="32"/>
          <w:szCs w:val="32"/>
          <w:lang w:val="en-US" w:eastAsia="zh-CN"/>
        </w:rPr>
        <w:t>福州臻耀弘汽车服务有限公司，法定代表人：黄雄，统一社会信用代码91350111MA31JFBY6F，注册资本：1,000万人民币，成立日期：2018-03-19，住所：福建省福州市晋安区新店镇赤星路96号福州金城民营科技工业集中区5号楼2层201厂房，经营范围：许可项目：小微型客车租赁经营服务；道路货物运输（不含危险货物）；道路货物运输（网络货运）；城市配送运输服务（不含危险货物）；食品销售；食品互联网销售。（依法须经批准的项目，经相关部门批准后方可开展经营活动，具体经营项目以相关部门批准文件或许可证件为准）一般项目：租赁服务（不含许可类租赁服务）；汽车零配件零售；汽车装饰用品销售；机动车修理和维护；信息咨询服务（不含许可类信息咨询服务）；旅客票务代理；广告制作；广告发布；广告设计、代理；劳务服务（不含劳务派遣）；国内货物运输代理；运输货物打包服务；食品销售（仅销售预包装食品）；食品互联网销售（仅销售预包装食品）。（依法须经批准的项目，经相关部门批准后方可开展经营活动）</w:t>
      </w:r>
    </w:p>
    <w:p w14:paraId="1A83CA53">
      <w:pPr>
        <w:pStyle w:val="6"/>
        <w:spacing w:line="600" w:lineRule="exact"/>
        <w:ind w:firstLine="640" w:firstLineChars="200"/>
        <w:jc w:val="both"/>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4、</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，女，1968年3月10日出生，居民身份证号：350XXXXXXXXXXXXXXX，户籍地址：</w:t>
      </w:r>
      <w:r>
        <w:rPr>
          <w:rFonts w:hint="eastAsia" w:ascii="仿宋" w:hAnsi="仿宋" w:eastAsia="仿宋" w:cs="黑体"/>
          <w:bCs/>
          <w:sz w:val="32"/>
          <w:szCs w:val="32"/>
        </w:rPr>
        <w:t>福建省</w:t>
      </w:r>
      <w:r>
        <w:rPr>
          <w:rFonts w:hint="eastAsia" w:ascii="仿宋" w:hAnsi="仿宋" w:eastAsia="仿宋" w:cs="黑体"/>
          <w:bCs/>
          <w:sz w:val="32"/>
          <w:szCs w:val="32"/>
          <w:lang w:eastAsia="zh-CN"/>
        </w:rPr>
        <w:t>闽侯县洋里乡新见村大厝</w:t>
      </w:r>
      <w:r>
        <w:rPr>
          <w:rFonts w:hint="eastAsia" w:ascii="仿宋" w:hAnsi="仿宋" w:eastAsia="仿宋" w:cs="黑体"/>
          <w:bCs/>
          <w:sz w:val="32"/>
          <w:szCs w:val="32"/>
          <w:lang w:val="en-US" w:eastAsia="zh-CN"/>
        </w:rPr>
        <w:t>8号，住址：福建省福州市仓山区建新镇楼下村66号，系</w:t>
      </w:r>
      <w:r>
        <w:rPr>
          <w:rFonts w:hint="eastAsia" w:ascii="仿宋" w:hAnsi="仿宋" w:eastAsia="仿宋" w:cs="黑体"/>
          <w:bCs/>
          <w:sz w:val="32"/>
          <w:szCs w:val="32"/>
          <w:lang w:eastAsia="zh-CN"/>
        </w:rPr>
        <w:t>无号牌两</w:t>
      </w:r>
      <w:r>
        <w:rPr>
          <w:rFonts w:hint="eastAsia" w:ascii="仿宋" w:hAnsi="仿宋" w:eastAsia="仿宋" w:cs="黑体"/>
          <w:bCs/>
          <w:sz w:val="32"/>
          <w:szCs w:val="32"/>
        </w:rPr>
        <w:t>轮电动车</w:t>
      </w:r>
      <w:r>
        <w:rPr>
          <w:rFonts w:hint="eastAsia" w:ascii="仿宋" w:hAnsi="仿宋" w:eastAsia="仿宋" w:cs="黑体"/>
          <w:bCs/>
          <w:sz w:val="32"/>
          <w:szCs w:val="32"/>
          <w:lang w:val="en-US" w:eastAsia="zh-CN"/>
        </w:rPr>
        <w:t>的驾驶人，在事故中当场死亡。</w:t>
      </w:r>
    </w:p>
    <w:p w14:paraId="7D621F8C">
      <w:pPr>
        <w:numPr>
          <w:ilvl w:val="0"/>
          <w:numId w:val="0"/>
        </w:numPr>
        <w:spacing w:line="600" w:lineRule="exact"/>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5、林贤灏，男，1992年3月20日出生，机动车驾驶证号码：350XXXXXXXXXXXXXXX，档案编号：350100956727，准驾车型：C1，户籍住址：福建省永泰县塘前乡岭头村新厝1号，住址：福建省福州市闽侯县南屿镇江南路418号，系闽ADB8606号小型轿车的驾驶人。</w:t>
      </w:r>
    </w:p>
    <w:p w14:paraId="7E2FBFCF">
      <w:pPr>
        <w:numPr>
          <w:ilvl w:val="0"/>
          <w:numId w:val="0"/>
        </w:numPr>
        <w:spacing w:line="600" w:lineRule="exact"/>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 xml:space="preserve">6、福州滴滴畅行科技有限公司，注册地址：福建省福州市仓山区仓山镇三高路152号海通广场2号楼15层1515-2室；成立日期：2020年1月14日；统一社会信用代码：91350104MA33J6T508;法定代表人：陆孝慈；经营范围：基础软件开发；国内货运代理；网络预约出租汽车客运；道路旅客运输经营；普通货物道路运输；计算机科学技术研究服务；计算机、软件及辅助设备批发；网络与信息安全软件开发；信息技术咨询服务；其他未列明信息技术服务；广告咨询服务；设计、制作、代理、发布国内各类广告；日用杂品零售；其他日用品零售；其他未列明的预包装食品批发（不含国境口岸）；其他通讯设备批发；国内贸易代理服务；提供企业营销策划服务；其他未列明日用产品修理业；企业管理咨询服务；人才中介服务；网上商务咨询。（依法须经批准的项目，经相关部门批准后方可开展经营活动）。 </w:t>
      </w:r>
    </w:p>
    <w:p w14:paraId="51638A2D">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（三）事故发生经过</w:t>
      </w:r>
    </w:p>
    <w:p w14:paraId="45B31B1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2026年3月5日22时04分左右，</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闽ADB8606号小型轿车，接到滴滴平台订单搭载乘客从金山桔园一路前往东二环泰禾广场，</w:t>
      </w:r>
      <w:r>
        <w:rPr>
          <w:rFonts w:hint="eastAsia" w:ascii="仿宋" w:hAnsi="仿宋" w:eastAsia="仿宋" w:cs="仿宋"/>
          <w:sz w:val="32"/>
          <w:szCs w:val="32"/>
          <w:lang w:val="en-US" w:eastAsia="zh-CN"/>
        </w:rPr>
        <w:t>沿妙峰路高架桥由妙峰山隧道方向往鼓楼方向行驶，</w:t>
      </w:r>
      <w:r>
        <w:rPr>
          <w:rFonts w:hint="eastAsia" w:ascii="仿宋" w:hAnsi="仿宋" w:eastAsia="仿宋" w:cs="黑体"/>
          <w:bCs/>
          <w:sz w:val="32"/>
          <w:szCs w:val="32"/>
          <w:lang w:val="en-US" w:eastAsia="zh-CN"/>
        </w:rPr>
        <w:t>在</w:t>
      </w:r>
      <w:r>
        <w:rPr>
          <w:rFonts w:hint="eastAsia" w:ascii="仿宋" w:hAnsi="仿宋" w:eastAsia="仿宋" w:cs="仿宋"/>
          <w:sz w:val="32"/>
          <w:szCs w:val="32"/>
          <w:lang w:val="en-US" w:eastAsia="zh-CN"/>
        </w:rPr>
        <w:t>进入</w:t>
      </w:r>
      <w:r>
        <w:rPr>
          <w:rFonts w:hint="eastAsia" w:ascii="仿宋" w:hAnsi="仿宋" w:eastAsia="仿宋" w:cs="仿宋"/>
          <w:kern w:val="2"/>
          <w:sz w:val="32"/>
          <w:szCs w:val="32"/>
          <w:lang w:val="en-US" w:eastAsia="zh-CN" w:bidi="ar-SA"/>
        </w:rPr>
        <w:t>G316国道福兰线洪山大桥主桥面时</w:t>
      </w:r>
      <w:r>
        <w:rPr>
          <w:rFonts w:hint="eastAsia" w:ascii="仿宋" w:hAnsi="仿宋" w:eastAsia="仿宋" w:cs="仿宋"/>
          <w:sz w:val="32"/>
          <w:szCs w:val="32"/>
          <w:lang w:val="en-US" w:eastAsia="zh-CN"/>
        </w:rPr>
        <w:t>，适遇江惠珠驾驶的无号牌两轮电动车，沿洪山大桥在妙峰高架桥南侧匝道的机动车道上由仓山往鼓楼方向行驶至事发路段，向左穿越导流线后进入洪山大桥主桥面并继续往左变更车道往鼓楼方向行驶，</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临近发现</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车采取措施不及，在洪山大桥主桥面中央隔离护栏左起的第二条机动车道上，</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车右前侧车身与</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左后侧车身发生碰撞，造成江惠珠当场死亡及两车损坏的交通事故。</w:t>
      </w:r>
    </w:p>
    <w:p w14:paraId="7EAB6F53">
      <w:pPr>
        <w:ind w:firstLine="640" w:firstLineChars="200"/>
        <w:rPr>
          <w:rFonts w:ascii="楷体" w:hAnsi="楷体" w:eastAsia="楷体" w:cs="楷体"/>
          <w:szCs w:val="32"/>
        </w:rPr>
      </w:pPr>
      <w:r>
        <w:rPr>
          <w:rFonts w:hint="eastAsia" w:ascii="楷体" w:hAnsi="楷体" w:eastAsia="楷体" w:cs="楷体"/>
          <w:sz w:val="32"/>
          <w:szCs w:val="32"/>
        </w:rPr>
        <w:t>（四）人员伤亡和直接经济损失情况</w:t>
      </w:r>
    </w:p>
    <w:p w14:paraId="693F492D">
      <w:pPr>
        <w:pStyle w:val="7"/>
        <w:ind w:left="0" w:leftChars="0" w:firstLine="640" w:firstLineChars="0"/>
        <w:rPr>
          <w:rFonts w:hint="eastAsia" w:ascii="仿宋" w:hAnsi="仿宋" w:eastAsia="仿宋" w:cs="仿宋"/>
          <w:bCs w:val="0"/>
          <w:color w:val="FF0000"/>
          <w:szCs w:val="32"/>
        </w:rPr>
      </w:pPr>
      <w:r>
        <w:rPr>
          <w:rFonts w:hint="eastAsia" w:ascii="仿宋" w:hAnsi="仿宋" w:eastAsia="仿宋" w:cs="仿宋"/>
          <w:bCs w:val="0"/>
          <w:szCs w:val="32"/>
        </w:rPr>
        <w:t>事故造成</w:t>
      </w:r>
      <w:r>
        <w:rPr>
          <w:rFonts w:hint="eastAsia" w:ascii="仿宋" w:hAnsi="仿宋" w:eastAsia="仿宋" w:cs="仿宋"/>
          <w:bCs w:val="0"/>
          <w:szCs w:val="32"/>
          <w:lang w:val="en-US" w:eastAsia="zh-CN"/>
        </w:rPr>
        <w:t>1</w:t>
      </w:r>
      <w:r>
        <w:rPr>
          <w:rFonts w:hint="eastAsia" w:ascii="仿宋" w:hAnsi="仿宋" w:eastAsia="仿宋" w:cs="仿宋"/>
          <w:bCs w:val="0"/>
          <w:szCs w:val="32"/>
        </w:rPr>
        <w:t>人死亡</w:t>
      </w:r>
      <w:r>
        <w:rPr>
          <w:rFonts w:hint="eastAsia" w:ascii="仿宋" w:hAnsi="仿宋" w:eastAsia="仿宋" w:cs="仿宋"/>
          <w:bCs w:val="0"/>
          <w:kern w:val="2"/>
          <w:sz w:val="32"/>
          <w:szCs w:val="32"/>
          <w:lang w:val="en-US" w:eastAsia="zh-CN" w:bidi="ar-SA"/>
        </w:rPr>
        <w:t>，直接经济损失约100万。</w:t>
      </w:r>
    </w:p>
    <w:p w14:paraId="26B6F87E">
      <w:pPr>
        <w:pStyle w:val="7"/>
        <w:ind w:left="0" w:leftChars="0" w:firstLine="640" w:firstLineChars="0"/>
        <w:rPr>
          <w:rFonts w:hint="default"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二、事故应急处置及评估情况</w:t>
      </w:r>
    </w:p>
    <w:p w14:paraId="139C609D">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（一）事故信息接报及响应情况</w:t>
      </w:r>
    </w:p>
    <w:p w14:paraId="0688A671">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2026年3月5日22时04分，闽ADB8606号小型轿车与</w:t>
      </w:r>
      <w:r>
        <w:rPr>
          <w:rFonts w:hint="eastAsia" w:ascii="仿宋" w:hAnsi="仿宋" w:eastAsia="仿宋" w:cs="仿宋"/>
          <w:sz w:val="32"/>
          <w:szCs w:val="32"/>
          <w:lang w:val="en-US" w:eastAsia="zh-CN"/>
        </w:rPr>
        <w:t>无号牌两轮电动车</w:t>
      </w:r>
      <w:r>
        <w:rPr>
          <w:rFonts w:hint="eastAsia" w:ascii="仿宋" w:hAnsi="仿宋" w:eastAsia="仿宋" w:cs="黑体"/>
          <w:bCs/>
          <w:sz w:val="32"/>
          <w:szCs w:val="32"/>
          <w:lang w:val="en-US" w:eastAsia="zh-CN"/>
        </w:rPr>
        <w:t>发生碰撞后，闽ADB8606号小型轿车驾驶员发现有人员摔倒在地，立刻拨打110及120报警救援。鼓楼交警大队接警后，立即出警并在事故现场设立安全防护区域，进行警戒。</w:t>
      </w:r>
    </w:p>
    <w:p w14:paraId="2CBE3B50">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（二）事故应急救援和善后处置情况</w:t>
      </w:r>
    </w:p>
    <w:p w14:paraId="04662C17">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事故现场未有人员被困，120急救人员到场后，发现死者已当场死亡。事故发生后，鼓楼交警大队积极协调赔偿事宜，事故各项善后工作措施得当，平稳有序。</w:t>
      </w:r>
    </w:p>
    <w:p w14:paraId="7113B81D">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（三）事故应急处置评估</w:t>
      </w:r>
    </w:p>
    <w:p w14:paraId="30FE1F0B">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事故发生后，公安交警、医疗急救等部门能够第一时间启动响应，迅速赶赴现场开展应急处置和救援行动，未造成次生、衍生事故，应急处置科学有效。</w:t>
      </w:r>
    </w:p>
    <w:p w14:paraId="757DA634">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、事故基本调查事实</w:t>
      </w:r>
    </w:p>
    <w:p w14:paraId="5E48C2BD">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根据交警部门现场勘查、询问、调取监控视频及出具的《道路交通事故认定书（第350102120260000023号）》等资料证实</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闽ADB8606号小型轿车，接到滴滴平台订单搭载乘客前往东二环泰禾广场，在</w:t>
      </w:r>
      <w:r>
        <w:rPr>
          <w:rFonts w:hint="eastAsia" w:ascii="仿宋" w:hAnsi="仿宋" w:eastAsia="仿宋" w:cs="仿宋"/>
          <w:sz w:val="32"/>
          <w:szCs w:val="32"/>
          <w:lang w:val="en-US" w:eastAsia="zh-CN"/>
        </w:rPr>
        <w:t>沿妙峰路高架桥由妙峰山隧道方向往鼓楼方向行驶进入</w:t>
      </w:r>
      <w:r>
        <w:rPr>
          <w:rFonts w:hint="eastAsia" w:ascii="仿宋" w:hAnsi="仿宋" w:eastAsia="仿宋" w:cs="仿宋"/>
          <w:kern w:val="2"/>
          <w:sz w:val="32"/>
          <w:szCs w:val="32"/>
          <w:lang w:val="en-US" w:eastAsia="zh-CN" w:bidi="ar-SA"/>
        </w:rPr>
        <w:t>G316国道福兰线洪山大桥主桥面时</w:t>
      </w:r>
      <w:r>
        <w:rPr>
          <w:rFonts w:hint="eastAsia" w:ascii="仿宋" w:hAnsi="仿宋" w:eastAsia="仿宋" w:cs="仿宋"/>
          <w:sz w:val="32"/>
          <w:szCs w:val="32"/>
          <w:lang w:val="en-US" w:eastAsia="zh-CN"/>
        </w:rPr>
        <w:t>，</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由左起中央隔离护栏的第一条机动车车道往右相邻的车道变更车道行驶；同时江惠珠驾驶的无号牌两轮电动车，沿洪山大桥在妙峰高架桥南侧匝道的机动车道上由仓山往鼓楼方向行驶至事发路段，向左穿越导流线后进入洪山大桥主桥面并继续往左变更车道往鼓楼方向行驶；林贤灏驾驶机动车行经事发路段，低头查看放置在车辆中控旁的手机导航，对前方路面交通情况观察不力，致其临近发现</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车采取措施不及；在洪山大桥桥面由仓山往鼓楼方向道理中央隔离护栏左起的第二条机动车道上，</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车右前侧车身与</w:t>
      </w:r>
      <w:r>
        <w:rPr>
          <w:rFonts w:hint="eastAsia" w:ascii="仿宋" w:hAnsi="仿宋" w:eastAsia="仿宋" w:cs="黑体"/>
          <w:bCs/>
          <w:sz w:val="32"/>
          <w:szCs w:val="32"/>
          <w:lang w:eastAsia="zh-CN"/>
        </w:rPr>
        <w:t>江惠珠</w:t>
      </w:r>
      <w:r>
        <w:rPr>
          <w:rFonts w:hint="eastAsia" w:ascii="仿宋" w:hAnsi="仿宋" w:eastAsia="仿宋" w:cs="仿宋"/>
          <w:sz w:val="32"/>
          <w:szCs w:val="32"/>
          <w:lang w:val="en-US" w:eastAsia="zh-CN"/>
        </w:rPr>
        <w:t>左后侧车身发生碰撞。</w:t>
      </w:r>
    </w:p>
    <w:p w14:paraId="0B109BFA">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福建省南方司法鉴定中心出具的</w:t>
      </w:r>
      <w:r>
        <w:rPr>
          <w:rFonts w:hint="eastAsia" w:ascii="仿宋" w:hAnsi="仿宋" w:eastAsia="仿宋" w:cs="仿宋"/>
          <w:sz w:val="32"/>
          <w:szCs w:val="32"/>
          <w:lang w:eastAsia="zh-CN"/>
        </w:rPr>
        <w:t>《</w:t>
      </w:r>
      <w:r>
        <w:rPr>
          <w:rFonts w:hint="eastAsia" w:ascii="仿宋" w:hAnsi="仿宋" w:eastAsia="仿宋" w:cs="仿宋"/>
          <w:sz w:val="32"/>
          <w:szCs w:val="32"/>
        </w:rPr>
        <w:t>南方司鉴中心［202</w:t>
      </w:r>
      <w:r>
        <w:rPr>
          <w:rFonts w:hint="eastAsia" w:ascii="仿宋" w:hAnsi="仿宋" w:eastAsia="仿宋" w:cs="仿宋"/>
          <w:sz w:val="32"/>
          <w:szCs w:val="32"/>
          <w:lang w:val="en-US" w:eastAsia="zh-CN"/>
        </w:rPr>
        <w:t>6</w:t>
      </w:r>
      <w:r>
        <w:rPr>
          <w:rFonts w:hint="eastAsia" w:ascii="仿宋" w:hAnsi="仿宋" w:eastAsia="仿宋" w:cs="仿宋"/>
          <w:sz w:val="32"/>
          <w:szCs w:val="32"/>
        </w:rPr>
        <w:t>］病鉴字第</w:t>
      </w:r>
      <w:r>
        <w:rPr>
          <w:rFonts w:hint="eastAsia" w:ascii="仿宋" w:hAnsi="仿宋" w:eastAsia="仿宋" w:cs="仿宋"/>
          <w:sz w:val="32"/>
          <w:szCs w:val="32"/>
          <w:lang w:val="en-US" w:eastAsia="zh-CN"/>
        </w:rPr>
        <w:t>122</w:t>
      </w:r>
      <w:r>
        <w:rPr>
          <w:rFonts w:hint="eastAsia" w:ascii="仿宋" w:hAnsi="仿宋" w:eastAsia="仿宋" w:cs="仿宋"/>
          <w:sz w:val="32"/>
          <w:szCs w:val="32"/>
        </w:rPr>
        <w:t>号司法鉴定意见书</w:t>
      </w:r>
      <w:r>
        <w:rPr>
          <w:rFonts w:hint="eastAsia" w:ascii="仿宋" w:hAnsi="仿宋" w:eastAsia="仿宋" w:cs="仿宋"/>
          <w:sz w:val="32"/>
          <w:szCs w:val="32"/>
          <w:lang w:eastAsia="zh-CN"/>
        </w:rPr>
        <w:t>》</w:t>
      </w:r>
      <w:r>
        <w:rPr>
          <w:rFonts w:hint="eastAsia" w:ascii="仿宋" w:hAnsi="仿宋" w:eastAsia="仿宋" w:cs="仿宋"/>
          <w:sz w:val="32"/>
          <w:szCs w:val="32"/>
        </w:rPr>
        <w:t>证实：</w:t>
      </w:r>
      <w:r>
        <w:rPr>
          <w:rFonts w:hint="eastAsia" w:ascii="仿宋" w:hAnsi="仿宋" w:eastAsia="仿宋" w:cs="仿宋"/>
          <w:sz w:val="32"/>
          <w:szCs w:val="32"/>
          <w:lang w:eastAsia="zh-CN"/>
        </w:rPr>
        <w:t>江惠珠</w:t>
      </w:r>
      <w:r>
        <w:rPr>
          <w:rFonts w:hint="eastAsia" w:ascii="仿宋" w:hAnsi="仿宋" w:eastAsia="仿宋" w:cs="仿宋"/>
          <w:sz w:val="32"/>
          <w:szCs w:val="32"/>
        </w:rPr>
        <w:t>符合交通事故致颅脑损伤死亡。</w:t>
      </w:r>
    </w:p>
    <w:p w14:paraId="19C200E4">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］醇鉴字第6</w:t>
      </w:r>
      <w:r>
        <w:rPr>
          <w:rFonts w:hint="eastAsia" w:ascii="仿宋" w:hAnsi="仿宋" w:eastAsia="仿宋" w:cs="仿宋"/>
          <w:sz w:val="32"/>
          <w:szCs w:val="32"/>
          <w:lang w:val="en-US" w:eastAsia="zh-CN"/>
        </w:rPr>
        <w:t>39</w:t>
      </w:r>
      <w:r>
        <w:rPr>
          <w:rFonts w:hint="eastAsia" w:ascii="仿宋" w:hAnsi="仿宋" w:eastAsia="仿宋" w:cs="仿宋"/>
          <w:sz w:val="32"/>
          <w:szCs w:val="32"/>
          <w:lang w:eastAsia="zh-CN"/>
        </w:rPr>
        <w:t>号司法鉴定意见书》证实：送检的林贤灏血液未检出乙醇。</w:t>
      </w:r>
    </w:p>
    <w:p w14:paraId="6C50D3D0">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］毒鉴字第</w:t>
      </w:r>
      <w:r>
        <w:rPr>
          <w:rFonts w:hint="eastAsia" w:ascii="仿宋" w:hAnsi="仿宋" w:eastAsia="仿宋" w:cs="仿宋"/>
          <w:sz w:val="32"/>
          <w:szCs w:val="32"/>
          <w:lang w:val="en-US" w:eastAsia="zh-CN"/>
        </w:rPr>
        <w:t>202603141</w:t>
      </w:r>
      <w:r>
        <w:rPr>
          <w:rFonts w:hint="eastAsia" w:ascii="仿宋" w:hAnsi="仿宋" w:eastAsia="仿宋" w:cs="仿宋"/>
          <w:sz w:val="32"/>
          <w:szCs w:val="32"/>
          <w:lang w:eastAsia="zh-CN"/>
        </w:rPr>
        <w:t>号司法鉴定意见书》证实：送检的林贤灏血液未检出甲基苯丙胺、氯胺酮、吗啡、依托咪酯成分。</w:t>
      </w:r>
    </w:p>
    <w:p w14:paraId="2098F19F">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］醇鉴字第</w:t>
      </w:r>
      <w:r>
        <w:rPr>
          <w:rFonts w:hint="eastAsia" w:ascii="仿宋" w:hAnsi="仿宋" w:eastAsia="仿宋" w:cs="仿宋"/>
          <w:sz w:val="32"/>
          <w:szCs w:val="32"/>
          <w:lang w:val="en-US" w:eastAsia="zh-CN"/>
        </w:rPr>
        <w:t>643</w:t>
      </w:r>
      <w:r>
        <w:rPr>
          <w:rFonts w:hint="eastAsia" w:ascii="仿宋" w:hAnsi="仿宋" w:eastAsia="仿宋" w:cs="仿宋"/>
          <w:sz w:val="32"/>
          <w:szCs w:val="32"/>
          <w:lang w:eastAsia="zh-CN"/>
        </w:rPr>
        <w:t>号司法鉴定意见书》证实：送检的江惠珠血液未检出乙醇。</w:t>
      </w:r>
    </w:p>
    <w:p w14:paraId="6E11BBD1">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］毒鉴字第</w:t>
      </w:r>
      <w:r>
        <w:rPr>
          <w:rFonts w:hint="eastAsia" w:ascii="仿宋" w:hAnsi="仿宋" w:eastAsia="仿宋" w:cs="仿宋"/>
          <w:sz w:val="32"/>
          <w:szCs w:val="32"/>
          <w:lang w:val="en-US" w:eastAsia="zh-CN"/>
        </w:rPr>
        <w:t>202603158</w:t>
      </w:r>
      <w:r>
        <w:rPr>
          <w:rFonts w:hint="eastAsia" w:ascii="仿宋" w:hAnsi="仿宋" w:eastAsia="仿宋" w:cs="仿宋"/>
          <w:sz w:val="32"/>
          <w:szCs w:val="32"/>
          <w:lang w:eastAsia="zh-CN"/>
        </w:rPr>
        <w:t>号司法鉴定意见书》证实：送检的江惠珠血液未检出甲基苯丙胺、氯胺酮、吗啡、依托咪酯成分。</w:t>
      </w:r>
    </w:p>
    <w:p w14:paraId="49596BD5">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］车痕（C）鉴字第</w:t>
      </w:r>
      <w:r>
        <w:rPr>
          <w:rFonts w:hint="eastAsia" w:ascii="仿宋" w:hAnsi="仿宋" w:eastAsia="仿宋" w:cs="仿宋"/>
          <w:sz w:val="32"/>
          <w:szCs w:val="32"/>
          <w:lang w:val="en-US" w:eastAsia="zh-CN"/>
        </w:rPr>
        <w:t>739</w:t>
      </w:r>
      <w:r>
        <w:rPr>
          <w:rFonts w:hint="eastAsia" w:ascii="仿宋" w:hAnsi="仿宋" w:eastAsia="仿宋" w:cs="仿宋"/>
          <w:sz w:val="32"/>
          <w:szCs w:val="32"/>
          <w:lang w:eastAsia="zh-CN"/>
        </w:rPr>
        <w:t>号司法鉴定意见书》证实：事发前无号牌两轮电动车制动系符合安全状态要求，事发前无号牌两轮电动车转向系符合运行安全状态要求，事发前无号牌两轮电动车灯光系统符合运行安全状态要求。</w:t>
      </w:r>
    </w:p>
    <w:p w14:paraId="31CE3518">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］车痕（C）鉴字第</w:t>
      </w:r>
      <w:r>
        <w:rPr>
          <w:rFonts w:hint="eastAsia" w:ascii="仿宋" w:hAnsi="仿宋" w:eastAsia="仿宋" w:cs="仿宋"/>
          <w:sz w:val="32"/>
          <w:szCs w:val="32"/>
          <w:lang w:val="en-US" w:eastAsia="zh-CN"/>
        </w:rPr>
        <w:t>738</w:t>
      </w:r>
      <w:r>
        <w:rPr>
          <w:rFonts w:hint="eastAsia" w:ascii="仿宋" w:hAnsi="仿宋" w:eastAsia="仿宋" w:cs="仿宋"/>
          <w:sz w:val="32"/>
          <w:szCs w:val="32"/>
          <w:lang w:eastAsia="zh-CN"/>
        </w:rPr>
        <w:t>号司法鉴定意见书》证实：</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制动系符合安全状态要求，</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转向系符合运行安全状态要求，</w:t>
      </w:r>
      <w:r>
        <w:rPr>
          <w:rFonts w:hint="eastAsia" w:ascii="仿宋" w:hAnsi="仿宋" w:eastAsia="仿宋" w:cs="仿宋"/>
          <w:sz w:val="32"/>
          <w:szCs w:val="32"/>
          <w:lang w:val="en-US" w:eastAsia="zh-CN"/>
        </w:rPr>
        <w:t>闽ADB8606号小型轿车</w:t>
      </w:r>
      <w:r>
        <w:rPr>
          <w:rFonts w:hint="eastAsia" w:ascii="仿宋" w:hAnsi="仿宋" w:eastAsia="仿宋" w:cs="仿宋"/>
          <w:sz w:val="32"/>
          <w:szCs w:val="32"/>
          <w:lang w:eastAsia="zh-CN"/>
        </w:rPr>
        <w:t>灯光系统符合运行安全状态要求。</w:t>
      </w:r>
    </w:p>
    <w:p w14:paraId="701E3038">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］车痕鉴字第</w:t>
      </w:r>
      <w:r>
        <w:rPr>
          <w:rFonts w:hint="eastAsia" w:ascii="仿宋" w:hAnsi="仿宋" w:eastAsia="仿宋" w:cs="仿宋"/>
          <w:sz w:val="32"/>
          <w:szCs w:val="32"/>
          <w:lang w:val="en-US" w:eastAsia="zh-CN"/>
        </w:rPr>
        <w:t>336</w:t>
      </w:r>
      <w:r>
        <w:rPr>
          <w:rFonts w:hint="eastAsia" w:ascii="仿宋" w:hAnsi="仿宋" w:eastAsia="仿宋" w:cs="仿宋"/>
          <w:sz w:val="32"/>
          <w:szCs w:val="32"/>
          <w:lang w:eastAsia="zh-CN"/>
        </w:rPr>
        <w:t>号司法鉴定意见书》证实：上述两车勘查刮痕形态符合送检的</w:t>
      </w:r>
      <w:r>
        <w:rPr>
          <w:rFonts w:hint="eastAsia" w:ascii="仿宋" w:hAnsi="仿宋" w:eastAsia="仿宋" w:cs="仿宋"/>
          <w:sz w:val="32"/>
          <w:szCs w:val="32"/>
          <w:lang w:val="en-US" w:eastAsia="zh-CN"/>
        </w:rPr>
        <w:t>闽ADB8606号小型轿车车头右部及右前轮区域与该车前方、斜向左行驶的</w:t>
      </w:r>
      <w:r>
        <w:rPr>
          <w:rFonts w:hint="eastAsia" w:ascii="仿宋" w:hAnsi="仿宋" w:eastAsia="仿宋" w:cs="仿宋"/>
          <w:sz w:val="32"/>
          <w:szCs w:val="32"/>
          <w:lang w:eastAsia="zh-CN"/>
        </w:rPr>
        <w:t>无号牌两轮电动车左侧后部车身区域相碰撞及惯性作用下，造成</w:t>
      </w:r>
      <w:r>
        <w:rPr>
          <w:rFonts w:hint="eastAsia" w:ascii="仿宋" w:hAnsi="仿宋" w:eastAsia="仿宋" w:cs="仿宋"/>
          <w:sz w:val="32"/>
          <w:szCs w:val="32"/>
          <w:lang w:val="en-US" w:eastAsia="zh-CN"/>
        </w:rPr>
        <w:t>闽ADB8606号小型轿车车体及前挡风玻璃右中前部区域与摔跌过程中的江惠珠身体的左后臀部及头面区域相刮擦、该无号牌两轮电动车车体区域与摔跌过程中的江惠珠身体的四肢区域相刮擦而形成的痕迹特征。</w:t>
      </w:r>
    </w:p>
    <w:p w14:paraId="3FDB3B1A">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.福建省南方司法鉴定中心出具的《南方司法鉴定中心［202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］车速鉴字第</w:t>
      </w:r>
      <w:r>
        <w:rPr>
          <w:rFonts w:hint="eastAsia" w:ascii="仿宋" w:hAnsi="仿宋" w:eastAsia="仿宋" w:cs="仿宋"/>
          <w:sz w:val="32"/>
          <w:szCs w:val="32"/>
          <w:lang w:val="en-US" w:eastAsia="zh-CN"/>
        </w:rPr>
        <w:t>311</w:t>
      </w:r>
      <w:r>
        <w:rPr>
          <w:rFonts w:hint="eastAsia" w:ascii="仿宋" w:hAnsi="仿宋" w:eastAsia="仿宋" w:cs="仿宋"/>
          <w:sz w:val="32"/>
          <w:szCs w:val="32"/>
          <w:lang w:eastAsia="zh-CN"/>
        </w:rPr>
        <w:t>号司法鉴定意见书》证实：事发路段</w:t>
      </w:r>
      <w:r>
        <w:rPr>
          <w:rFonts w:hint="eastAsia" w:ascii="仿宋" w:hAnsi="仿宋" w:eastAsia="仿宋" w:cs="仿宋"/>
          <w:sz w:val="32"/>
          <w:szCs w:val="32"/>
          <w:lang w:val="en-US" w:eastAsia="zh-CN"/>
        </w:rPr>
        <w:t>闽ADB8606号小型轿车行驶通过视频监控截取点路段的平均行驶速度为82公里/小时</w:t>
      </w:r>
      <w:r>
        <w:rPr>
          <w:rFonts w:hint="eastAsia" w:ascii="仿宋" w:hAnsi="仿宋" w:eastAsia="仿宋" w:cs="仿宋"/>
          <w:sz w:val="32"/>
          <w:szCs w:val="32"/>
          <w:lang w:eastAsia="zh-CN"/>
        </w:rPr>
        <w:t>。</w:t>
      </w:r>
    </w:p>
    <w:p w14:paraId="62DA9597">
      <w:pPr>
        <w:pStyle w:val="6"/>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11.福建省南方司法鉴定中心出具的《南方司法鉴定中心［2026］速回函字第47号》证实：无法对送检的</w:t>
      </w:r>
      <w:r>
        <w:rPr>
          <w:rFonts w:hint="eastAsia" w:ascii="仿宋" w:hAnsi="仿宋" w:eastAsia="仿宋" w:cs="仿宋"/>
          <w:sz w:val="32"/>
          <w:szCs w:val="32"/>
          <w:lang w:eastAsia="zh-CN"/>
        </w:rPr>
        <w:t>无号牌两轮电动车事发时的行驶速度做出鉴定意见。</w:t>
      </w:r>
    </w:p>
    <w:p w14:paraId="3713748A">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12.福州交警查询系统电动自行车信息查询单证实：</w:t>
      </w:r>
      <w:r>
        <w:rPr>
          <w:rFonts w:hint="eastAsia" w:ascii="仿宋" w:hAnsi="仿宋" w:eastAsia="仿宋" w:cs="仿宋"/>
          <w:sz w:val="32"/>
          <w:szCs w:val="32"/>
          <w:lang w:eastAsia="zh-CN"/>
        </w:rPr>
        <w:t>车架号为</w:t>
      </w:r>
      <w:r>
        <w:rPr>
          <w:rFonts w:hint="eastAsia" w:ascii="仿宋" w:hAnsi="仿宋" w:eastAsia="仿宋" w:cs="仿宋"/>
          <w:sz w:val="32"/>
          <w:szCs w:val="32"/>
          <w:lang w:val="en-US" w:eastAsia="zh-CN"/>
        </w:rPr>
        <w:t>202822109175477的无号牌两轮电动车无登记信息。</w:t>
      </w:r>
    </w:p>
    <w:p w14:paraId="22DA978C">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福州臻耀弘汽车服务有限公司，系闽ADB8606号小型轿车所有者，将闽ADB8606号小型轿车租赁给林贤灏使用；福州臻耀弘汽车服务有限公司主要负责人与安全管理人员均持有相关培训合格证明，有制定安全生产责任制、安全生产隐患排查制度、安全生产培训和教育制度、车辆安全管理制度、驾驶员安全操作规程、安全风险分级管控制度和应急预案等安全生产规章制度；驾驶员林贤灏有经岗前培训合格上岗并定期接受企业的安全教育培训；福州臻耀弘汽车服务有限公司有记录员工安全教育培训情况，有记录车辆隐患排查治理情况。在本次事故中，未发现福州臻耀弘汽车服务有限公司存在违法行为。</w:t>
      </w:r>
    </w:p>
    <w:p w14:paraId="3E93CA65">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福州滴滴畅行科技有限公司，系滴滴专车平台运营方，林贤灏在滴滴专车平台上接单经营；福州滴滴畅行科技有限公司有制定安全生产责任制、安全生产隐患排查制度、安全生产培训和教育制度、车辆安全管理制度和应急预案等安全生产规章制度，公司主要负责人与安全管理人员有培训合格证明，有网络预约出租车经营资质；驾驶员林贤灏有经岗前培训合格上岗并定期接受企业的安全教育培训；福州滴滴畅行科技有限公司有记录员工安全教育培训情况，有开展车辆隐患排查治理工作，但未建立车辆隐患排查治理台账。</w:t>
      </w:r>
    </w:p>
    <w:p w14:paraId="1BB6F800">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、事故原因</w:t>
      </w:r>
      <w:r>
        <w:rPr>
          <w:rFonts w:hint="eastAsia" w:ascii="黑体" w:hAnsi="黑体" w:eastAsia="黑体" w:cs="黑体"/>
          <w:sz w:val="32"/>
          <w:szCs w:val="32"/>
          <w:lang w:val="en-US" w:eastAsia="zh-CN"/>
        </w:rPr>
        <w:t>分析</w:t>
      </w:r>
    </w:p>
    <w:p w14:paraId="4A057AF3">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1.当事人</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驾驶</w:t>
      </w:r>
      <w:r>
        <w:rPr>
          <w:rFonts w:hint="eastAsia" w:ascii="仿宋" w:hAnsi="仿宋" w:eastAsia="仿宋" w:cs="黑体"/>
          <w:bCs/>
          <w:sz w:val="32"/>
          <w:szCs w:val="32"/>
          <w:lang w:val="en-US" w:eastAsia="zh-CN"/>
        </w:rPr>
        <w:t>机动车在道路上行驶，在行车的过程中观看手机导航，未注意观察前方路面情况，且在夜间行驶时车速超过限速标志表明的最高时速，致其临近发现前方的</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车采取措施不及，其行为违反了</w:t>
      </w:r>
      <w:r>
        <w:rPr>
          <w:rFonts w:hint="eastAsia" w:ascii="仿宋" w:hAnsi="仿宋" w:eastAsia="仿宋" w:cs="仿宋"/>
          <w:sz w:val="32"/>
          <w:szCs w:val="32"/>
          <w:lang w:val="en-US" w:eastAsia="zh-CN"/>
        </w:rPr>
        <w:t>《中华人民共和国道路交通安全法》第二十二条第一款、第四十二条第一款、第二款之规定，是造成本起事故的原因之一。</w:t>
      </w:r>
    </w:p>
    <w:p w14:paraId="31649BD1">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当事人江惠珠驾驶非机动车进入封闭的机动车专用道行驶，且违反交通标线指示穿越导流线后连续变更车道行驶，其行为违反《中华人民共和国道路交通安全法》第三十八条、第五十七条及《福建省实施&lt;中华人民共和国道路交通安全法&gt;办法》第三十九条第二项之规定，是造成本起事故的另一原因。</w:t>
      </w:r>
    </w:p>
    <w:p w14:paraId="002A4522">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、对事故有关单位及责任人的处理建议</w:t>
      </w:r>
    </w:p>
    <w:p w14:paraId="3CE933D8">
      <w:pPr>
        <w:ind w:firstLine="640"/>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bidi="ar-SA"/>
        </w:rPr>
        <w:t>1.</w:t>
      </w:r>
      <w:r>
        <w:rPr>
          <w:rFonts w:hint="eastAsia" w:ascii="仿宋" w:hAnsi="仿宋" w:eastAsia="仿宋" w:cs="黑体"/>
          <w:bCs/>
          <w:sz w:val="32"/>
          <w:szCs w:val="32"/>
          <w:lang w:val="en-US" w:eastAsia="zh-CN"/>
        </w:rPr>
        <w:t>林贤灏，</w:t>
      </w:r>
      <w:r>
        <w:rPr>
          <w:rFonts w:hint="eastAsia" w:ascii="仿宋" w:hAnsi="仿宋" w:eastAsia="仿宋" w:cs="仿宋"/>
          <w:sz w:val="32"/>
          <w:szCs w:val="32"/>
          <w:lang w:val="en-US" w:eastAsia="zh-CN"/>
        </w:rPr>
        <w:t>闽ADB8606号小型轿车驾驶者，</w:t>
      </w:r>
      <w:r>
        <w:rPr>
          <w:rFonts w:hint="eastAsia" w:ascii="仿宋" w:hAnsi="仿宋" w:eastAsia="仿宋" w:cs="黑体"/>
          <w:bCs/>
          <w:sz w:val="32"/>
          <w:szCs w:val="32"/>
          <w:lang w:val="en-US" w:eastAsia="zh-CN"/>
        </w:rPr>
        <w:t>在道路上行驶过程中观看手机导航，未注意观察前方路面情况，且在夜间行驶时车速超过限速标志表明的最高时速，致其临近发现前方的</w:t>
      </w:r>
      <w:r>
        <w:rPr>
          <w:rFonts w:hint="eastAsia" w:ascii="仿宋" w:hAnsi="仿宋" w:eastAsia="仿宋" w:cs="黑体"/>
          <w:bCs/>
          <w:sz w:val="32"/>
          <w:szCs w:val="32"/>
          <w:lang w:eastAsia="zh-CN"/>
        </w:rPr>
        <w:t>江惠珠</w:t>
      </w:r>
      <w:r>
        <w:rPr>
          <w:rFonts w:hint="eastAsia" w:ascii="仿宋" w:hAnsi="仿宋" w:eastAsia="仿宋" w:cs="黑体"/>
          <w:bCs/>
          <w:sz w:val="32"/>
          <w:szCs w:val="32"/>
          <w:lang w:val="en-US" w:eastAsia="zh-CN"/>
        </w:rPr>
        <w:t>车采取措施不及</w:t>
      </w:r>
      <w:r>
        <w:rPr>
          <w:rFonts w:hint="eastAsia" w:ascii="仿宋" w:hAnsi="仿宋" w:eastAsia="仿宋" w:cs="仿宋"/>
          <w:sz w:val="32"/>
          <w:szCs w:val="32"/>
          <w:lang w:val="en-US" w:eastAsia="zh-CN"/>
        </w:rPr>
        <w:t>，造成江惠珠当场死亡及两车不同程度受损</w:t>
      </w:r>
      <w:r>
        <w:rPr>
          <w:rFonts w:hint="eastAsia" w:ascii="仿宋" w:hAnsi="仿宋" w:eastAsia="仿宋" w:cs="仿宋"/>
          <w:kern w:val="0"/>
          <w:sz w:val="32"/>
          <w:szCs w:val="32"/>
          <w:lang w:val="en-US" w:eastAsia="zh-CN" w:bidi="ar-SA"/>
        </w:rPr>
        <w:t>，对本起事故负有责任，建议由交警部门依法对其作出处理。</w:t>
      </w:r>
    </w:p>
    <w:p w14:paraId="506DCD83">
      <w:pPr>
        <w:ind w:firstLine="640" w:firstLineChars="200"/>
        <w:rPr>
          <w:rFonts w:hint="eastAsia" w:ascii="仿宋" w:hAnsi="仿宋" w:eastAsia="仿宋" w:cs="黑体"/>
          <w:bCs/>
          <w:sz w:val="32"/>
          <w:szCs w:val="32"/>
          <w:lang w:val="en-US" w:eastAsia="zh-CN"/>
        </w:rPr>
      </w:pPr>
      <w:r>
        <w:rPr>
          <w:rFonts w:hint="eastAsia" w:ascii="仿宋" w:hAnsi="仿宋" w:eastAsia="仿宋" w:cs="仿宋"/>
          <w:sz w:val="32"/>
          <w:szCs w:val="32"/>
          <w:lang w:val="en-US" w:eastAsia="zh-CN"/>
        </w:rPr>
        <w:t>2、死者江惠珠，无号牌两轮电动车驾驶者，驾驶非机动车进入封闭的机动车专用道行驶，且违反交通标线指示穿越导流线后连续变更车道行驶，导致</w:t>
      </w:r>
      <w:r>
        <w:rPr>
          <w:rFonts w:hint="eastAsia" w:ascii="仿宋" w:hAnsi="仿宋" w:eastAsia="仿宋" w:cs="仿宋"/>
          <w:sz w:val="32"/>
          <w:szCs w:val="32"/>
          <w:lang w:val="en-US" w:eastAsia="zh-Hans"/>
        </w:rPr>
        <w:t>被后车碰撞</w:t>
      </w:r>
      <w:r>
        <w:rPr>
          <w:rFonts w:hint="eastAsia" w:ascii="仿宋" w:hAnsi="仿宋" w:eastAsia="仿宋" w:cs="仿宋"/>
          <w:sz w:val="32"/>
          <w:szCs w:val="32"/>
          <w:lang w:val="en-US" w:eastAsia="zh-CN"/>
        </w:rPr>
        <w:t>当场死亡，对本起事故发生</w:t>
      </w:r>
      <w:r>
        <w:rPr>
          <w:rFonts w:hint="eastAsia" w:ascii="仿宋" w:hAnsi="仿宋" w:eastAsia="仿宋" w:cs="仿宋"/>
          <w:kern w:val="0"/>
          <w:sz w:val="32"/>
          <w:szCs w:val="32"/>
          <w:lang w:val="en-US" w:eastAsia="zh-CN" w:bidi="ar-SA"/>
        </w:rPr>
        <w:t>负有责任</w:t>
      </w:r>
      <w:r>
        <w:rPr>
          <w:rFonts w:hint="eastAsia" w:ascii="仿宋" w:hAnsi="仿宋" w:eastAsia="仿宋" w:cs="仿宋"/>
          <w:sz w:val="32"/>
          <w:szCs w:val="32"/>
          <w:lang w:val="en-US" w:eastAsia="zh-CN"/>
        </w:rPr>
        <w:t>。鉴于江</w:t>
      </w:r>
      <w:r>
        <w:rPr>
          <w:rFonts w:hint="eastAsia" w:ascii="仿宋" w:hAnsi="仿宋" w:eastAsia="仿宋" w:cs="黑体"/>
          <w:bCs/>
          <w:sz w:val="32"/>
          <w:szCs w:val="32"/>
          <w:lang w:val="en-US" w:eastAsia="zh-CN"/>
        </w:rPr>
        <w:t>惠珠在事故中死亡，建议免予追究江惠珠责任。</w:t>
      </w:r>
    </w:p>
    <w:p w14:paraId="1D8988B5">
      <w:pPr>
        <w:ind w:firstLine="640" w:firstLineChars="200"/>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3.福州滴滴畅行科技有限公司存在未建立车辆隐患排查治理台账的问题，建议由交通运输执法部门依法作出处理。</w:t>
      </w:r>
    </w:p>
    <w:p w14:paraId="3B5EF852">
      <w:pPr>
        <w:ind w:firstLine="640" w:firstLineChars="200"/>
        <w:rPr>
          <w:rFonts w:ascii="仿宋_GB2312" w:hAnsi="仿宋_GB231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、事故防范和整改措施</w:t>
      </w:r>
    </w:p>
    <w:p w14:paraId="5132DC08">
      <w:pPr>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为深刻吸取事故教训，举一反三，有效防范和减少道路交通事故，提出以下建议：</w:t>
      </w:r>
    </w:p>
    <w:p w14:paraId="47752B1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一）强化网约车平台监管：建议交通运输部门约谈网约车平台公司，督促其利用车载监控、GPS轨迹等技术手段，加强对驾驶员分心驾驶（如查看手机）、超速等危险驾驶行为的动态监控和实时干预，并将此作为企业考核的重要依据。</w:t>
      </w:r>
    </w:p>
    <w:p w14:paraId="7A98FE9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（二）严查非机动车违规上高架：建议交警部门加大对该路段及类似高架、快速路非机动车违规驶入的日常巡查和电子抓拍力度，并联合媒体进行曝光，形成执法震慑。</w:t>
      </w:r>
    </w:p>
    <w:p w14:paraId="676241A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rightChars="0" w:firstLine="640" w:firstLineChars="200"/>
        <w:jc w:val="left"/>
        <w:textAlignment w:val="auto"/>
        <w:outlineLvl w:val="9"/>
        <w:rPr>
          <w:rFonts w:hint="eastAsia" w:ascii="仿宋" w:hAnsi="仿宋" w:eastAsia="仿宋" w:cs="黑体"/>
          <w:bCs/>
          <w:kern w:val="2"/>
          <w:sz w:val="32"/>
          <w:szCs w:val="32"/>
          <w:lang w:val="en-US" w:eastAsia="zh-CN" w:bidi="ar"/>
        </w:rPr>
      </w:pPr>
      <w:r>
        <w:rPr>
          <w:rFonts w:hint="eastAsia" w:ascii="仿宋" w:hAnsi="仿宋" w:eastAsia="仿宋" w:cs="黑体"/>
          <w:bCs/>
          <w:kern w:val="2"/>
          <w:sz w:val="32"/>
          <w:szCs w:val="32"/>
          <w:lang w:val="en-US" w:eastAsia="zh-CN" w:bidi="ar"/>
        </w:rPr>
        <w:t>（三）督促企业落实主体责任：</w:t>
      </w:r>
      <w:r>
        <w:rPr>
          <w:rFonts w:hint="eastAsia" w:ascii="仿宋" w:hAnsi="仿宋" w:eastAsia="仿宋" w:cs="黑体"/>
          <w:bCs/>
          <w:sz w:val="32"/>
          <w:szCs w:val="32"/>
          <w:lang w:bidi="ar"/>
        </w:rPr>
        <w:t>建议</w:t>
      </w:r>
      <w:r>
        <w:rPr>
          <w:rFonts w:hint="eastAsia" w:ascii="仿宋" w:hAnsi="仿宋" w:eastAsia="仿宋" w:cs="黑体"/>
          <w:bCs/>
          <w:sz w:val="32"/>
          <w:szCs w:val="32"/>
          <w:lang w:eastAsia="zh-CN" w:bidi="ar"/>
        </w:rPr>
        <w:t>交通运输等相关部门</w:t>
      </w:r>
      <w:r>
        <w:rPr>
          <w:rFonts w:hint="eastAsia" w:ascii="仿宋" w:hAnsi="仿宋" w:eastAsia="仿宋" w:cs="黑体"/>
          <w:bCs/>
          <w:kern w:val="2"/>
          <w:sz w:val="32"/>
          <w:szCs w:val="32"/>
          <w:lang w:val="en-US" w:eastAsia="zh-CN" w:bidi="ar"/>
        </w:rPr>
        <w:t>督促车辆权属公司和网约车平台建立驾驶员安全驾驶行为的奖惩机制，对“三超一疲劳”、分心驾驶等行为进行动态监控和严肃处理，将事故隐患消除在萌芽状态。</w:t>
      </w:r>
    </w:p>
    <w:p w14:paraId="42865F9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3637269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0DC2213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Hans" w:bidi="ar"/>
        </w:rPr>
        <w:t>仓山区</w:t>
      </w:r>
      <w:r>
        <w:rPr>
          <w:rFonts w:hint="eastAsia" w:ascii="仿宋_GB2312" w:hAnsi="仿宋_GB2312" w:eastAsia="仿宋_GB2312" w:cs="仿宋_GB2312"/>
          <w:kern w:val="2"/>
          <w:sz w:val="32"/>
          <w:szCs w:val="32"/>
          <w:lang w:val="en-US" w:eastAsia="zh-CN" w:bidi="ar"/>
        </w:rPr>
        <w:t>妙峰路高架桥“3.5”</w:t>
      </w:r>
      <w:r>
        <w:rPr>
          <w:rFonts w:hint="eastAsia" w:ascii="仿宋_GB2312" w:hAnsi="仿宋" w:eastAsia="仿宋_GB2312" w:cs="仿宋"/>
          <w:bCs/>
          <w:sz w:val="32"/>
          <w:szCs w:val="32"/>
        </w:rPr>
        <w:t>交通死亡事故</w:t>
      </w:r>
      <w:r>
        <w:rPr>
          <w:rFonts w:hint="eastAsia" w:ascii="仿宋_GB2312" w:hAnsi="仿宋_GB2312" w:eastAsia="仿宋_GB2312" w:cs="仿宋_GB2312"/>
          <w:kern w:val="2"/>
          <w:sz w:val="32"/>
          <w:szCs w:val="32"/>
          <w:lang w:val="en-US" w:eastAsia="zh-CN" w:bidi="ar"/>
        </w:rPr>
        <w:t>调查组</w:t>
      </w:r>
    </w:p>
    <w:p w14:paraId="0232E6A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2026年7月3日</w:t>
      </w:r>
    </w:p>
    <w:p w14:paraId="22A35C9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487AF45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29553F1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0C32AB7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283205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4235937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045D067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5EFBFEF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1F8217F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5EDF63A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609122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0BB10D3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216D385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4AAAA0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116F9B5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7EBF4BB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left"/>
        <w:textAlignment w:val="auto"/>
        <w:outlineLvl w:val="9"/>
        <w:rPr>
          <w:rFonts w:hint="eastAsia" w:ascii="仿宋_GB2312" w:hAnsi="仿宋_GB2312" w:eastAsia="仿宋_GB2312" w:cs="仿宋_GB2312"/>
          <w:kern w:val="2"/>
          <w:sz w:val="32"/>
          <w:szCs w:val="32"/>
          <w:lang w:val="en-US" w:eastAsia="zh-CN" w:bidi="ar"/>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xOTg5NjNmYjE5YjVhZmVmNjlmNjdmMDVkZGZkMDMifQ=="/>
  </w:docVars>
  <w:rsids>
    <w:rsidRoot w:val="00CC3B88"/>
    <w:rsid w:val="00042D4F"/>
    <w:rsid w:val="000E3101"/>
    <w:rsid w:val="001536B7"/>
    <w:rsid w:val="001B5425"/>
    <w:rsid w:val="001C3650"/>
    <w:rsid w:val="001E220E"/>
    <w:rsid w:val="0023447E"/>
    <w:rsid w:val="00280020"/>
    <w:rsid w:val="003A2562"/>
    <w:rsid w:val="003D4FA7"/>
    <w:rsid w:val="00533032"/>
    <w:rsid w:val="005B0A38"/>
    <w:rsid w:val="00600837"/>
    <w:rsid w:val="00617912"/>
    <w:rsid w:val="006253D8"/>
    <w:rsid w:val="007508C7"/>
    <w:rsid w:val="007D13F8"/>
    <w:rsid w:val="00810217"/>
    <w:rsid w:val="00890B40"/>
    <w:rsid w:val="008913D9"/>
    <w:rsid w:val="008B0F5B"/>
    <w:rsid w:val="00917E5D"/>
    <w:rsid w:val="009356DA"/>
    <w:rsid w:val="0095543C"/>
    <w:rsid w:val="00A313F6"/>
    <w:rsid w:val="00A90045"/>
    <w:rsid w:val="00B26BD6"/>
    <w:rsid w:val="00B91F4C"/>
    <w:rsid w:val="00BE6EC4"/>
    <w:rsid w:val="00C367DD"/>
    <w:rsid w:val="00C97578"/>
    <w:rsid w:val="00CC3B88"/>
    <w:rsid w:val="00CF2E5A"/>
    <w:rsid w:val="00D247A1"/>
    <w:rsid w:val="00D50AD9"/>
    <w:rsid w:val="00E13E69"/>
    <w:rsid w:val="00E435A8"/>
    <w:rsid w:val="00FD512C"/>
    <w:rsid w:val="00FF1FE1"/>
    <w:rsid w:val="01623593"/>
    <w:rsid w:val="06FA8872"/>
    <w:rsid w:val="0B227B7D"/>
    <w:rsid w:val="0BF7E9F3"/>
    <w:rsid w:val="0C5B0496"/>
    <w:rsid w:val="12DC5101"/>
    <w:rsid w:val="13C8322D"/>
    <w:rsid w:val="13E02182"/>
    <w:rsid w:val="18011D43"/>
    <w:rsid w:val="1AECAD4A"/>
    <w:rsid w:val="1E2F4BC4"/>
    <w:rsid w:val="1FA71EBC"/>
    <w:rsid w:val="228356A4"/>
    <w:rsid w:val="2479566D"/>
    <w:rsid w:val="289B6CD2"/>
    <w:rsid w:val="2A2C16BD"/>
    <w:rsid w:val="2D482A15"/>
    <w:rsid w:val="2EE11050"/>
    <w:rsid w:val="2F76551D"/>
    <w:rsid w:val="33BDE11D"/>
    <w:rsid w:val="355A5C32"/>
    <w:rsid w:val="36581F6E"/>
    <w:rsid w:val="365E112A"/>
    <w:rsid w:val="3A522118"/>
    <w:rsid w:val="3A833DD9"/>
    <w:rsid w:val="3B5F1F70"/>
    <w:rsid w:val="3D7E9D1C"/>
    <w:rsid w:val="3E7E1579"/>
    <w:rsid w:val="3FBC9554"/>
    <w:rsid w:val="42D77239"/>
    <w:rsid w:val="44FE6213"/>
    <w:rsid w:val="467A28B1"/>
    <w:rsid w:val="4C233756"/>
    <w:rsid w:val="4F7FB52F"/>
    <w:rsid w:val="4FEC2E77"/>
    <w:rsid w:val="53FE0E62"/>
    <w:rsid w:val="56906E01"/>
    <w:rsid w:val="57BD9663"/>
    <w:rsid w:val="57FF216B"/>
    <w:rsid w:val="5ABA706D"/>
    <w:rsid w:val="5D7F5A02"/>
    <w:rsid w:val="61D71FFD"/>
    <w:rsid w:val="6594370E"/>
    <w:rsid w:val="65BBE6D6"/>
    <w:rsid w:val="68617948"/>
    <w:rsid w:val="69891532"/>
    <w:rsid w:val="6A357CF5"/>
    <w:rsid w:val="6ABE67EF"/>
    <w:rsid w:val="6CCD1316"/>
    <w:rsid w:val="6E5D624F"/>
    <w:rsid w:val="717EE441"/>
    <w:rsid w:val="71CA6A28"/>
    <w:rsid w:val="728B56E2"/>
    <w:rsid w:val="73335B6A"/>
    <w:rsid w:val="74546BEB"/>
    <w:rsid w:val="77DF0030"/>
    <w:rsid w:val="79913D8E"/>
    <w:rsid w:val="7AEF7793"/>
    <w:rsid w:val="7B9F349F"/>
    <w:rsid w:val="7C365D76"/>
    <w:rsid w:val="7CAF9841"/>
    <w:rsid w:val="7CF656DE"/>
    <w:rsid w:val="7D7F0C98"/>
    <w:rsid w:val="7DEBA580"/>
    <w:rsid w:val="7DFBE091"/>
    <w:rsid w:val="7EB687F4"/>
    <w:rsid w:val="7EF18858"/>
    <w:rsid w:val="7EF741DC"/>
    <w:rsid w:val="7EF906FC"/>
    <w:rsid w:val="7F1B1180"/>
    <w:rsid w:val="7F9F2B60"/>
    <w:rsid w:val="7FBF2485"/>
    <w:rsid w:val="7FC9CD34"/>
    <w:rsid w:val="7FCF4A78"/>
    <w:rsid w:val="7FD86F65"/>
    <w:rsid w:val="7FF75E94"/>
    <w:rsid w:val="7FFB2276"/>
    <w:rsid w:val="7FFB9D71"/>
    <w:rsid w:val="7FFF1F78"/>
    <w:rsid w:val="7FFFD54F"/>
    <w:rsid w:val="9FEF12EA"/>
    <w:rsid w:val="9FFFBECB"/>
    <w:rsid w:val="AB7F3513"/>
    <w:rsid w:val="AE79AA4E"/>
    <w:rsid w:val="B5EF4BBF"/>
    <w:rsid w:val="B7AF340F"/>
    <w:rsid w:val="BADFD165"/>
    <w:rsid w:val="BDEB8433"/>
    <w:rsid w:val="BE693B23"/>
    <w:rsid w:val="C6F9B6A8"/>
    <w:rsid w:val="DBFF5500"/>
    <w:rsid w:val="DFB74F5D"/>
    <w:rsid w:val="E4DBA3BF"/>
    <w:rsid w:val="EBB5A54B"/>
    <w:rsid w:val="EC9F5D2E"/>
    <w:rsid w:val="ED671C20"/>
    <w:rsid w:val="EDAE67AD"/>
    <w:rsid w:val="EDFF3130"/>
    <w:rsid w:val="EF56E28F"/>
    <w:rsid w:val="EFD91A59"/>
    <w:rsid w:val="EFFED5D6"/>
    <w:rsid w:val="F2FCB159"/>
    <w:rsid w:val="F3AFED47"/>
    <w:rsid w:val="F74F645A"/>
    <w:rsid w:val="F7C64EDC"/>
    <w:rsid w:val="F86DD57D"/>
    <w:rsid w:val="F99F5D4D"/>
    <w:rsid w:val="FBAF2B98"/>
    <w:rsid w:val="FBFF6226"/>
    <w:rsid w:val="FD7FF437"/>
    <w:rsid w:val="FDCF9660"/>
    <w:rsid w:val="FFBE1E91"/>
    <w:rsid w:val="FFDB7847"/>
    <w:rsid w:val="FFEDFCCA"/>
    <w:rsid w:val="FFFE38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20"/>
    <w:semiHidden/>
    <w:unhideWhenUsed/>
    <w:qFormat/>
    <w:uiPriority w:val="99"/>
    <w:pPr>
      <w:spacing w:after="120"/>
      <w:ind w:left="420" w:leftChars="200"/>
    </w:pPr>
  </w:style>
  <w:style w:type="paragraph" w:styleId="3">
    <w:name w:val="Date"/>
    <w:basedOn w:val="1"/>
    <w:next w:val="1"/>
    <w:link w:val="11"/>
    <w:qFormat/>
    <w:uiPriority w:val="99"/>
    <w:pPr>
      <w:ind w:left="100" w:leftChars="250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rPr>
  </w:style>
  <w:style w:type="paragraph" w:styleId="7">
    <w:name w:val="Body Text First Indent 2"/>
    <w:basedOn w:val="2"/>
    <w:link w:val="21"/>
    <w:qFormat/>
    <w:uiPriority w:val="0"/>
    <w:pPr>
      <w:ind w:left="200" w:firstLine="200" w:firstLineChars="200"/>
    </w:pPr>
    <w:rPr>
      <w:rFonts w:eastAsia="仿宋_GB2312" w:cs="仿宋_GB2312"/>
      <w:bCs/>
      <w:kern w:val="0"/>
      <w:sz w:val="32"/>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字符"/>
    <w:basedOn w:val="10"/>
    <w:link w:val="3"/>
    <w:semiHidden/>
    <w:qFormat/>
    <w:locked/>
    <w:uiPriority w:val="99"/>
    <w:rPr>
      <w:rFonts w:ascii="Times New Roman" w:hAnsi="Times New Roman" w:cs="Times New Roman"/>
      <w:sz w:val="24"/>
      <w:szCs w:val="24"/>
    </w:rPr>
  </w:style>
  <w:style w:type="paragraph" w:customStyle="1" w:styleId="12">
    <w:name w:val="正文（首行缩进两字）"/>
    <w:basedOn w:val="13"/>
    <w:next w:val="13"/>
    <w:qFormat/>
    <w:uiPriority w:val="99"/>
    <w:rPr>
      <w:color w:val="auto"/>
    </w:rPr>
  </w:style>
  <w:style w:type="paragraph" w:customStyle="1" w:styleId="13">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WPSOffice手动目录 1"/>
    <w:qFormat/>
    <w:uiPriority w:val="99"/>
    <w:rPr>
      <w:rFonts w:ascii="Times New Roman" w:hAnsi="Times New Roman" w:eastAsia="宋体" w:cs="Times New Roman"/>
      <w:lang w:val="en-US" w:eastAsia="zh-CN" w:bidi="ar-SA"/>
    </w:rPr>
  </w:style>
  <w:style w:type="paragraph" w:customStyle="1" w:styleId="15">
    <w:name w:val="标书正文"/>
    <w:basedOn w:val="1"/>
    <w:next w:val="1"/>
    <w:qFormat/>
    <w:uiPriority w:val="99"/>
    <w:pPr>
      <w:widowControl/>
      <w:spacing w:line="312" w:lineRule="auto"/>
      <w:ind w:firstLine="200" w:firstLineChars="200"/>
      <w:jc w:val="left"/>
    </w:pPr>
    <w:rPr>
      <w:rFonts w:ascii="Calibri" w:hAnsi="Calibri"/>
      <w:spacing w:val="2"/>
      <w:sz w:val="24"/>
    </w:rPr>
  </w:style>
  <w:style w:type="paragraph" w:customStyle="1" w:styleId="16">
    <w:name w:val="Body text|1"/>
    <w:qFormat/>
    <w:uiPriority w:val="0"/>
    <w:pPr>
      <w:widowControl w:val="0"/>
      <w:spacing w:line="480" w:lineRule="auto"/>
      <w:ind w:firstLine="400"/>
      <w:jc w:val="both"/>
    </w:pPr>
    <w:rPr>
      <w:rFonts w:ascii="宋体" w:hAnsi="宋体" w:eastAsia="宋体" w:cs="宋体"/>
      <w:color w:val="000000"/>
      <w:kern w:val="2"/>
      <w:sz w:val="26"/>
      <w:szCs w:val="26"/>
      <w:u w:color="000000"/>
      <w:lang w:val="zh-TW" w:eastAsia="zh-TW" w:bidi="ar-SA"/>
    </w:rPr>
  </w:style>
  <w:style w:type="character" w:customStyle="1" w:styleId="17">
    <w:name w:val="页眉 字符"/>
    <w:basedOn w:val="10"/>
    <w:link w:val="5"/>
    <w:qFormat/>
    <w:uiPriority w:val="99"/>
    <w:rPr>
      <w:rFonts w:ascii="Times New Roman" w:hAnsi="Times New Roman" w:cs="Times New Roman"/>
      <w:kern w:val="2"/>
      <w:sz w:val="18"/>
      <w:szCs w:val="18"/>
    </w:rPr>
  </w:style>
  <w:style w:type="character" w:customStyle="1" w:styleId="18">
    <w:name w:val="页脚 字符"/>
    <w:basedOn w:val="10"/>
    <w:link w:val="4"/>
    <w:qFormat/>
    <w:uiPriority w:val="99"/>
    <w:rPr>
      <w:rFonts w:ascii="Times New Roman" w:hAnsi="Times New Roman" w:cs="Times New Roman"/>
      <w:kern w:val="2"/>
      <w:sz w:val="18"/>
      <w:szCs w:val="18"/>
    </w:rPr>
  </w:style>
  <w:style w:type="paragraph" w:styleId="19">
    <w:name w:val="List Paragraph"/>
    <w:basedOn w:val="1"/>
    <w:unhideWhenUsed/>
    <w:qFormat/>
    <w:uiPriority w:val="99"/>
    <w:pPr>
      <w:ind w:firstLine="420" w:firstLineChars="200"/>
    </w:pPr>
  </w:style>
  <w:style w:type="character" w:customStyle="1" w:styleId="20">
    <w:name w:val="正文文本缩进 字符"/>
    <w:basedOn w:val="10"/>
    <w:link w:val="2"/>
    <w:semiHidden/>
    <w:qFormat/>
    <w:uiPriority w:val="99"/>
    <w:rPr>
      <w:rFonts w:ascii="Times New Roman" w:hAnsi="Times New Roman" w:cs="Times New Roman"/>
      <w:kern w:val="2"/>
      <w:sz w:val="21"/>
      <w:szCs w:val="24"/>
    </w:rPr>
  </w:style>
  <w:style w:type="character" w:customStyle="1" w:styleId="21">
    <w:name w:val="正文文本首行缩进 2 字符"/>
    <w:basedOn w:val="20"/>
    <w:link w:val="7"/>
    <w:qFormat/>
    <w:uiPriority w:val="0"/>
    <w:rPr>
      <w:rFonts w:ascii="Times New Roman" w:hAnsi="Times New Roman" w:eastAsia="仿宋_GB2312" w:cs="仿宋_GB2312"/>
      <w:bCs/>
      <w:kern w:val="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5247</Words>
  <Characters>5721</Characters>
  <Lines>39</Lines>
  <Paragraphs>11</Paragraphs>
  <TotalTime>0</TotalTime>
  <ScaleCrop>false</ScaleCrop>
  <LinksUpToDate>false</LinksUpToDate>
  <CharactersWithSpaces>5727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2021-11-16T17:11:00Z</dcterms:created>
  <dc:creator>csqyjglj</dc:creator>
  <cp:lastModifiedBy>康耀豪</cp:lastModifiedBy>
  <cp:lastPrinted>2026-07-03T09:17:00Z</cp:lastPrinted>
  <dcterms:modified xsi:type="dcterms:W3CDTF">2026-08-24T10:26:23Z</dcterms:modified>
  <dc:title>福州市仓山区依强产业园“12.27”一般生产安全责任事故调查报告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A6758ACD3A6749F79541F3CE07225B31_13</vt:lpwstr>
  </property>
  <property fmtid="{D5CDD505-2E9C-101B-9397-08002B2CF9AE}" pid="4" name="KSOTemplateDocerSaveRecord">
    <vt:lpwstr>eyJoZGlkIjoiMTgyY2Y5Y2UxZjkwY2NiYzg1MTM4ZmQzOTFhYWJhY2IiLCJ1c2VySWQiOiI0NTMxNDEzMzkifQ==</vt:lpwstr>
  </property>
</Properties>
</file>