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仿宋" w:hAnsi="仿宋" w:eastAsia="仿宋"/>
          <w:b/>
          <w:color w:val="auto"/>
          <w:sz w:val="40"/>
          <w:szCs w:val="40"/>
        </w:rPr>
      </w:pPr>
    </w:p>
    <w:p>
      <w:pPr>
        <w:jc w:val="center"/>
        <w:rPr>
          <w:rFonts w:hint="eastAsia" w:ascii="仿宋" w:hAnsi="仿宋" w:eastAsia="仿宋"/>
          <w:b/>
          <w:color w:val="auto"/>
          <w:sz w:val="40"/>
          <w:szCs w:val="40"/>
        </w:rPr>
      </w:pPr>
    </w:p>
    <w:p>
      <w:pPr>
        <w:widowControl w:val="0"/>
        <w:kinsoku/>
        <w:adjustRightInd/>
        <w:snapToGrid/>
        <w:spacing w:line="1200" w:lineRule="exact"/>
        <w:jc w:val="center"/>
        <w:textAlignment w:val="auto"/>
        <w:rPr>
          <w:rFonts w:hint="eastAsia" w:ascii="黑体" w:hAnsi="黑体" w:eastAsia="黑体" w:cs="黑体"/>
          <w:b/>
          <w:snapToGrid/>
          <w:color w:val="000000" w:themeColor="text1"/>
          <w:sz w:val="44"/>
          <w:szCs w:val="44"/>
          <w:lang w:val="en-US" w:bidi="zh-CN"/>
          <w14:textFill>
            <w14:solidFill>
              <w14:schemeClr w14:val="tx1"/>
            </w14:solidFill>
          </w14:textFill>
        </w:rPr>
      </w:pPr>
      <w:r>
        <w:rPr>
          <w:rFonts w:hint="eastAsia" w:ascii="黑体" w:hAnsi="黑体" w:eastAsia="黑体" w:cs="黑体"/>
          <w:b/>
          <w:snapToGrid/>
          <w:color w:val="000000" w:themeColor="text1"/>
          <w:sz w:val="44"/>
          <w:szCs w:val="44"/>
          <w:lang w:val="en-US" w:bidi="zh-CN"/>
          <w14:textFill>
            <w14:solidFill>
              <w14:schemeClr w14:val="tx1"/>
            </w14:solidFill>
          </w14:textFill>
        </w:rPr>
        <w:t>2023年度福州市仓山区环境卫生中心</w:t>
      </w:r>
    </w:p>
    <w:p>
      <w:pPr>
        <w:widowControl w:val="0"/>
        <w:kinsoku/>
        <w:adjustRightInd/>
        <w:snapToGrid/>
        <w:spacing w:line="1200" w:lineRule="exact"/>
        <w:jc w:val="center"/>
        <w:textAlignment w:val="auto"/>
        <w:rPr>
          <w:rFonts w:hint="eastAsia" w:ascii="黑体" w:hAnsi="黑体" w:eastAsia="黑体" w:cs="黑体"/>
          <w:b/>
          <w:snapToGrid/>
          <w:color w:val="000000" w:themeColor="text1"/>
          <w:sz w:val="44"/>
          <w:szCs w:val="44"/>
          <w:lang w:val="en-US" w:bidi="zh-CN"/>
          <w14:textFill>
            <w14:solidFill>
              <w14:schemeClr w14:val="tx1"/>
            </w14:solidFill>
          </w14:textFill>
        </w:rPr>
      </w:pPr>
      <w:bookmarkStart w:id="101" w:name="_GoBack"/>
      <w:r>
        <w:rPr>
          <w:rFonts w:hint="eastAsia" w:ascii="黑体" w:hAnsi="黑体" w:eastAsia="黑体" w:cs="黑体"/>
          <w:b/>
          <w:snapToGrid/>
          <w:color w:val="000000" w:themeColor="text1"/>
          <w:sz w:val="44"/>
          <w:szCs w:val="44"/>
          <w:lang w:val="en-US" w:bidi="zh-CN"/>
          <w14:textFill>
            <w14:solidFill>
              <w14:schemeClr w14:val="tx1"/>
            </w14:solidFill>
          </w14:textFill>
        </w:rPr>
        <w:t>道路清扫经费项目绩效评价报告</w:t>
      </w:r>
    </w:p>
    <w:bookmarkEnd w:id="101"/>
    <w:p>
      <w:pPr>
        <w:pStyle w:val="35"/>
        <w:rPr>
          <w:rFonts w:hint="eastAsia"/>
        </w:rPr>
      </w:pPr>
    </w:p>
    <w:p>
      <w:pPr>
        <w:rPr>
          <w:rFonts w:hint="eastAsia"/>
        </w:rPr>
      </w:pPr>
    </w:p>
    <w:p>
      <w:pPr>
        <w:pStyle w:val="2"/>
        <w:rPr>
          <w:rFonts w:hint="eastAsia"/>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color w:val="auto"/>
        </w:rPr>
      </w:pPr>
    </w:p>
    <w:p>
      <w:pPr>
        <w:spacing w:line="360" w:lineRule="auto"/>
        <w:rPr>
          <w:rFonts w:hint="eastAsia" w:ascii="仿宋" w:hAnsi="仿宋" w:eastAsia="仿宋" w:cs="仿宋"/>
          <w:color w:val="auto"/>
          <w:spacing w:val="-3"/>
          <w:sz w:val="32"/>
          <w:szCs w:val="32"/>
        </w:rPr>
      </w:pPr>
      <w:r>
        <w:rPr>
          <w:rFonts w:hint="eastAsia" w:ascii="仿宋" w:hAnsi="仿宋" w:eastAsia="仿宋" w:cs="仿宋"/>
          <w:color w:val="auto"/>
          <w:spacing w:val="-3"/>
          <w:sz w:val="32"/>
          <w:szCs w:val="32"/>
        </w:rPr>
        <w:t>项目名称：2023年度福州市仓山区环境卫生中心</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firstLine="1570" w:firstLineChars="500"/>
        <w:textAlignment w:val="baseline"/>
        <w:rPr>
          <w:rFonts w:hint="eastAsia" w:ascii="仿宋" w:hAnsi="仿宋" w:eastAsia="仿宋" w:cs="仿宋"/>
          <w:color w:val="auto"/>
          <w:spacing w:val="-3"/>
          <w:sz w:val="32"/>
          <w:szCs w:val="32"/>
          <w:lang w:val="en-US" w:eastAsia="zh-CN"/>
        </w:rPr>
      </w:pPr>
      <w:r>
        <w:rPr>
          <w:rFonts w:hint="eastAsia" w:ascii="仿宋" w:hAnsi="仿宋" w:eastAsia="仿宋" w:cs="仿宋"/>
          <w:color w:val="auto"/>
          <w:spacing w:val="-3"/>
          <w:sz w:val="32"/>
          <w:szCs w:val="32"/>
        </w:rPr>
        <w:t>道路清扫经费项目</w:t>
      </w:r>
      <w:r>
        <w:rPr>
          <w:rFonts w:hint="eastAsia" w:ascii="仿宋" w:hAnsi="仿宋" w:eastAsia="仿宋" w:cs="仿宋"/>
          <w:color w:val="auto"/>
          <w:spacing w:val="-3"/>
          <w:sz w:val="32"/>
          <w:szCs w:val="32"/>
          <w:lang w:val="en-US" w:eastAsia="zh-CN"/>
        </w:rPr>
        <w:t>支出</w:t>
      </w:r>
    </w:p>
    <w:p>
      <w:pPr>
        <w:spacing w:before="99" w:line="360" w:lineRule="auto"/>
        <w:ind w:right="1828"/>
        <w:rPr>
          <w:rFonts w:hint="default" w:ascii="仿宋" w:hAnsi="仿宋" w:eastAsia="仿宋" w:cs="仿宋"/>
          <w:color w:val="auto"/>
          <w:spacing w:val="-1"/>
          <w:sz w:val="32"/>
          <w:szCs w:val="32"/>
          <w:lang w:val="en-US" w:eastAsia="zh-CN"/>
        </w:rPr>
      </w:pPr>
      <w:r>
        <w:rPr>
          <w:rFonts w:hint="eastAsia" w:ascii="仿宋" w:hAnsi="仿宋" w:eastAsia="仿宋" w:cs="仿宋"/>
          <w:color w:val="auto"/>
          <w:spacing w:val="-2"/>
          <w:sz w:val="32"/>
          <w:szCs w:val="32"/>
        </w:rPr>
        <w:t>委托单位：</w:t>
      </w:r>
      <w:r>
        <w:rPr>
          <w:rFonts w:hint="eastAsia" w:ascii="仿宋" w:hAnsi="仿宋" w:eastAsia="仿宋" w:cs="仿宋"/>
          <w:color w:val="auto"/>
          <w:spacing w:val="-1"/>
          <w:sz w:val="32"/>
          <w:szCs w:val="32"/>
          <w:lang w:val="en-US" w:eastAsia="zh-CN"/>
        </w:rPr>
        <w:t>福州市仓山区财政局</w:t>
      </w:r>
    </w:p>
    <w:p>
      <w:pPr>
        <w:spacing w:before="99" w:line="360" w:lineRule="auto"/>
        <w:ind w:right="1828"/>
        <w:rPr>
          <w:rFonts w:hint="eastAsia" w:ascii="仿宋" w:hAnsi="仿宋" w:eastAsia="仿宋" w:cs="仿宋"/>
          <w:color w:val="auto"/>
          <w:spacing w:val="-1"/>
          <w:sz w:val="32"/>
          <w:szCs w:val="32"/>
          <w:lang w:eastAsia="zh-CN"/>
        </w:rPr>
      </w:pPr>
      <w:r>
        <w:rPr>
          <w:rFonts w:hint="eastAsia" w:ascii="仿宋" w:hAnsi="仿宋" w:eastAsia="仿宋" w:cs="仿宋"/>
          <w:color w:val="auto"/>
          <w:spacing w:val="-3"/>
          <w:sz w:val="32"/>
          <w:szCs w:val="32"/>
        </w:rPr>
        <w:t>项目负责单位：</w:t>
      </w:r>
      <w:r>
        <w:rPr>
          <w:rFonts w:hint="eastAsia" w:ascii="仿宋" w:hAnsi="仿宋" w:eastAsia="仿宋" w:cs="仿宋"/>
          <w:color w:val="auto"/>
          <w:spacing w:val="-1"/>
          <w:sz w:val="32"/>
          <w:szCs w:val="32"/>
          <w:lang w:eastAsia="zh-CN"/>
        </w:rPr>
        <w:t>福州市仓山区环境卫生中心</w:t>
      </w:r>
    </w:p>
    <w:p>
      <w:pPr>
        <w:spacing w:before="97" w:line="360" w:lineRule="auto"/>
        <w:rPr>
          <w:rFonts w:hint="eastAsia" w:ascii="仿宋" w:hAnsi="仿宋" w:eastAsia="仿宋" w:cs="仿宋"/>
          <w:color w:val="auto"/>
          <w:spacing w:val="-1"/>
          <w:sz w:val="32"/>
          <w:szCs w:val="32"/>
        </w:rPr>
      </w:pPr>
      <w:r>
        <w:rPr>
          <w:rFonts w:hint="eastAsia" w:ascii="仿宋" w:hAnsi="仿宋" w:eastAsia="仿宋" w:cs="仿宋"/>
          <w:color w:val="auto"/>
          <w:spacing w:val="-1"/>
          <w:sz w:val="32"/>
          <w:szCs w:val="32"/>
        </w:rPr>
        <w:t>评价机构：福建金财恒效咨询有限公司</w:t>
      </w:r>
    </w:p>
    <w:p>
      <w:pPr>
        <w:spacing w:before="99" w:line="360" w:lineRule="auto"/>
        <w:ind w:right="1828"/>
        <w:rPr>
          <w:rFonts w:hint="eastAsia" w:ascii="仿宋" w:hAnsi="仿宋" w:eastAsia="仿宋" w:cs="仿宋"/>
          <w:color w:val="auto"/>
          <w:spacing w:val="-3"/>
          <w:sz w:val="32"/>
          <w:szCs w:val="32"/>
        </w:rPr>
      </w:pPr>
      <w:r>
        <w:rPr>
          <w:rFonts w:hint="eastAsia" w:ascii="仿宋" w:hAnsi="仿宋" w:eastAsia="仿宋" w:cs="仿宋"/>
          <w:color w:val="auto"/>
          <w:spacing w:val="-3"/>
          <w:sz w:val="32"/>
          <w:szCs w:val="32"/>
        </w:rPr>
        <w:t>报告日期：2024年</w:t>
      </w:r>
      <w:r>
        <w:rPr>
          <w:rFonts w:hint="eastAsia" w:ascii="仿宋" w:hAnsi="仿宋" w:eastAsia="仿宋" w:cs="仿宋"/>
          <w:color w:val="auto"/>
          <w:spacing w:val="-3"/>
          <w:sz w:val="32"/>
          <w:szCs w:val="32"/>
          <w:lang w:val="en-US" w:eastAsia="zh-CN"/>
        </w:rPr>
        <w:t>12</w:t>
      </w:r>
      <w:r>
        <w:rPr>
          <w:rFonts w:hint="eastAsia" w:ascii="仿宋" w:hAnsi="仿宋" w:eastAsia="仿宋" w:cs="仿宋"/>
          <w:color w:val="auto"/>
          <w:spacing w:val="-3"/>
          <w:sz w:val="32"/>
          <w:szCs w:val="32"/>
        </w:rPr>
        <w:t>月</w:t>
      </w:r>
      <w:r>
        <w:rPr>
          <w:rFonts w:hint="eastAsia" w:ascii="仿宋" w:hAnsi="仿宋" w:eastAsia="仿宋" w:cs="仿宋"/>
          <w:color w:val="auto"/>
          <w:spacing w:val="-3"/>
          <w:sz w:val="32"/>
          <w:szCs w:val="32"/>
          <w:lang w:val="en-US" w:eastAsia="zh-CN"/>
        </w:rPr>
        <w:t>29</w:t>
      </w:r>
      <w:r>
        <w:rPr>
          <w:rFonts w:hint="eastAsia" w:ascii="仿宋" w:hAnsi="仿宋" w:eastAsia="仿宋" w:cs="仿宋"/>
          <w:color w:val="auto"/>
          <w:spacing w:val="-3"/>
          <w:sz w:val="32"/>
          <w:szCs w:val="32"/>
        </w:rPr>
        <w:t>日</w:t>
      </w:r>
    </w:p>
    <w:p>
      <w:pPr>
        <w:spacing w:before="97" w:line="183" w:lineRule="auto"/>
        <w:ind w:firstLine="640" w:firstLineChars="200"/>
        <w:rPr>
          <w:rFonts w:hint="eastAsia" w:ascii="仿宋" w:hAnsi="仿宋" w:eastAsia="仿宋" w:cs="仿宋"/>
          <w:color w:val="auto"/>
          <w:sz w:val="32"/>
          <w:szCs w:val="32"/>
        </w:rPr>
      </w:pPr>
    </w:p>
    <w:p>
      <w:pPr>
        <w:rPr>
          <w:rFonts w:hint="eastAsia" w:ascii="仿宋" w:hAnsi="仿宋" w:eastAsia="仿宋"/>
          <w:color w:val="auto"/>
        </w:rPr>
      </w:pPr>
    </w:p>
    <w:p>
      <w:pPr>
        <w:rPr>
          <w:rFonts w:hint="eastAsia" w:ascii="仿宋" w:hAnsi="仿宋" w:eastAsia="仿宋"/>
          <w:color w:val="auto"/>
        </w:rPr>
      </w:pPr>
    </w:p>
    <w:p>
      <w:pPr>
        <w:rPr>
          <w:rFonts w:hint="eastAsia" w:ascii="仿宋" w:hAnsi="仿宋" w:eastAsia="仿宋"/>
          <w:b/>
          <w:color w:val="auto"/>
          <w:sz w:val="32"/>
          <w:szCs w:val="32"/>
        </w:rPr>
        <w:sectPr>
          <w:footerReference r:id="rId3" w:type="default"/>
          <w:pgSz w:w="11906" w:h="16838"/>
          <w:pgMar w:top="1440" w:right="1800" w:bottom="1440" w:left="1800" w:header="851" w:footer="992" w:gutter="0"/>
          <w:pgNumType w:start="1"/>
          <w:cols w:space="425" w:num="1"/>
          <w:docGrid w:type="lines" w:linePitch="312" w:charSpace="0"/>
        </w:sectPr>
      </w:pPr>
    </w:p>
    <w:p>
      <w:pPr>
        <w:spacing w:line="360" w:lineRule="auto"/>
        <w:jc w:val="center"/>
        <w:rPr>
          <w:rFonts w:hint="eastAsia" w:ascii="黑体" w:hAnsi="黑体" w:eastAsia="黑体" w:cs="宋体"/>
          <w:b/>
          <w:bCs/>
          <w:sz w:val="36"/>
          <w:szCs w:val="36"/>
        </w:rPr>
      </w:pPr>
      <w:bookmarkStart w:id="0" w:name="_Toc25665"/>
      <w:bookmarkStart w:id="1" w:name="_Toc27585"/>
      <w:bookmarkStart w:id="2" w:name="_Toc26865"/>
      <w:bookmarkStart w:id="3" w:name="_Toc20147"/>
      <w:bookmarkStart w:id="4" w:name="_Toc24023645"/>
      <w:bookmarkStart w:id="5" w:name="_Toc24553173"/>
      <w:r>
        <w:rPr>
          <w:rFonts w:hint="eastAsia" w:ascii="黑体" w:hAnsi="黑体" w:eastAsia="黑体" w:cs="宋体"/>
          <w:b/>
          <w:bCs/>
          <w:sz w:val="36"/>
          <w:szCs w:val="36"/>
        </w:rPr>
        <w:t>道路清扫经费资金项目绩效评价报告</w:t>
      </w:r>
    </w:p>
    <w:p>
      <w:pPr>
        <w:pStyle w:val="32"/>
        <w:spacing w:beforeAutospacing="0" w:afterAutospacing="0" w:line="520" w:lineRule="exact"/>
        <w:rPr>
          <w:rFonts w:hint="eastAsia" w:ascii="仿宋" w:hAnsi="仿宋" w:eastAsia="仿宋"/>
          <w:kern w:val="2"/>
          <w:sz w:val="28"/>
          <w:szCs w:val="28"/>
        </w:rPr>
      </w:pPr>
    </w:p>
    <w:p>
      <w:pPr>
        <w:pStyle w:val="32"/>
        <w:spacing w:beforeAutospacing="0" w:afterAutospacing="0" w:line="520" w:lineRule="exact"/>
        <w:ind w:firstLine="560" w:firstLineChars="200"/>
        <w:rPr>
          <w:rFonts w:hint="eastAsia" w:ascii="仿宋" w:hAnsi="仿宋" w:eastAsia="仿宋"/>
          <w:kern w:val="2"/>
          <w:sz w:val="28"/>
          <w:szCs w:val="28"/>
        </w:rPr>
      </w:pPr>
      <w:r>
        <w:rPr>
          <w:rFonts w:hint="eastAsia" w:ascii="仿宋" w:hAnsi="仿宋" w:eastAsia="仿宋"/>
          <w:kern w:val="2"/>
          <w:sz w:val="28"/>
          <w:szCs w:val="28"/>
        </w:rPr>
        <w:t>为进一步推进</w:t>
      </w:r>
      <w:r>
        <w:rPr>
          <w:rFonts w:hint="eastAsia" w:ascii="仿宋" w:hAnsi="仿宋" w:eastAsia="仿宋"/>
          <w:kern w:val="2"/>
          <w:sz w:val="28"/>
          <w:szCs w:val="28"/>
          <w:lang w:val="en-US" w:eastAsia="zh-CN"/>
        </w:rPr>
        <w:t>福州市仓山区</w:t>
      </w:r>
      <w:r>
        <w:rPr>
          <w:rFonts w:hint="eastAsia" w:ascii="仿宋" w:hAnsi="仿宋" w:eastAsia="仿宋"/>
          <w:kern w:val="2"/>
          <w:sz w:val="28"/>
          <w:szCs w:val="28"/>
        </w:rPr>
        <w:t>财政绩效管理工作，不断提高财政资金使用绩效，根据财政部《项目支出绩效评价管理办法》（财预〔2020〕10号）、中共中央、国务院《关于全面实施预算绩效管理的意见》（中发〔2018〕34号）、福建省委、省政府《关于全面实施预算绩效管理的实施意见》（闽委发〔2019〕5号）等文件精神，福建金财恒效咨询有限公司受</w:t>
      </w:r>
      <w:r>
        <w:rPr>
          <w:rFonts w:hint="eastAsia" w:ascii="仿宋" w:hAnsi="仿宋" w:eastAsia="仿宋"/>
          <w:kern w:val="2"/>
          <w:sz w:val="28"/>
          <w:szCs w:val="28"/>
          <w:lang w:val="en-US" w:eastAsia="zh-CN"/>
        </w:rPr>
        <w:t>福州市仓山区财政局</w:t>
      </w:r>
      <w:r>
        <w:rPr>
          <w:rFonts w:hint="eastAsia" w:ascii="仿宋" w:hAnsi="仿宋" w:eastAsia="仿宋"/>
          <w:kern w:val="2"/>
          <w:sz w:val="28"/>
          <w:szCs w:val="28"/>
        </w:rPr>
        <w:t>委托，组成</w:t>
      </w:r>
      <w:r>
        <w:rPr>
          <w:rFonts w:hint="eastAsia" w:ascii="仿宋" w:hAnsi="仿宋" w:eastAsia="仿宋"/>
          <w:kern w:val="2"/>
          <w:sz w:val="28"/>
          <w:szCs w:val="28"/>
          <w:lang w:eastAsia="zh-CN"/>
        </w:rPr>
        <w:t>道路清扫经费资金项目支出</w:t>
      </w:r>
      <w:r>
        <w:rPr>
          <w:rFonts w:hint="eastAsia" w:ascii="仿宋" w:hAnsi="仿宋" w:eastAsia="仿宋"/>
          <w:kern w:val="2"/>
          <w:sz w:val="28"/>
          <w:szCs w:val="28"/>
        </w:rPr>
        <w:t>绩效评价工作组，对</w:t>
      </w:r>
      <w:r>
        <w:rPr>
          <w:rFonts w:hint="eastAsia" w:ascii="仿宋" w:hAnsi="仿宋" w:eastAsia="仿宋"/>
          <w:kern w:val="2"/>
          <w:sz w:val="28"/>
          <w:szCs w:val="28"/>
          <w:lang w:eastAsia="zh-CN"/>
        </w:rPr>
        <w:t>福州市仓山区环境卫生中心</w:t>
      </w:r>
      <w:r>
        <w:rPr>
          <w:rFonts w:hint="eastAsia" w:ascii="仿宋" w:hAnsi="仿宋" w:eastAsia="仿宋"/>
          <w:kern w:val="2"/>
          <w:sz w:val="28"/>
          <w:szCs w:val="28"/>
        </w:rPr>
        <w:t>2023年度</w:t>
      </w:r>
      <w:r>
        <w:rPr>
          <w:rFonts w:hint="eastAsia" w:ascii="仿宋" w:hAnsi="仿宋" w:eastAsia="仿宋"/>
          <w:kern w:val="2"/>
          <w:sz w:val="28"/>
          <w:szCs w:val="28"/>
          <w:lang w:eastAsia="zh-CN"/>
        </w:rPr>
        <w:t>道路清扫经费资金项目支出</w:t>
      </w:r>
      <w:r>
        <w:rPr>
          <w:rFonts w:hint="eastAsia" w:ascii="仿宋" w:hAnsi="仿宋" w:eastAsia="仿宋"/>
          <w:kern w:val="2"/>
          <w:sz w:val="28"/>
          <w:szCs w:val="28"/>
        </w:rPr>
        <w:t>实施绩效评价。</w:t>
      </w:r>
    </w:p>
    <w:p>
      <w:pPr>
        <w:spacing w:line="520" w:lineRule="exact"/>
        <w:jc w:val="both"/>
        <w:rPr>
          <w:rFonts w:hint="eastAsia" w:ascii="仿宋" w:hAnsi="仿宋" w:eastAsia="仿宋"/>
          <w:sz w:val="28"/>
          <w:szCs w:val="28"/>
        </w:rPr>
      </w:pPr>
      <w:r>
        <w:rPr>
          <w:rFonts w:hint="eastAsia" w:ascii="仿宋" w:hAnsi="仿宋" w:eastAsia="仿宋"/>
          <w:sz w:val="28"/>
          <w:szCs w:val="28"/>
        </w:rPr>
        <w:t xml:space="preserve">    2024年</w:t>
      </w:r>
      <w:r>
        <w:rPr>
          <w:rFonts w:hint="eastAsia" w:ascii="仿宋" w:hAnsi="仿宋" w:eastAsia="仿宋"/>
          <w:sz w:val="28"/>
          <w:szCs w:val="28"/>
          <w:lang w:val="en-US" w:eastAsia="zh-CN"/>
        </w:rPr>
        <w:t>12</w:t>
      </w:r>
      <w:r>
        <w:rPr>
          <w:rFonts w:hint="eastAsia" w:ascii="仿宋" w:hAnsi="仿宋" w:eastAsia="仿宋"/>
          <w:sz w:val="28"/>
          <w:szCs w:val="28"/>
        </w:rPr>
        <w:t>月，绩效评价工作组赴项目委托单位和项目实施单位地点实地了解情况、搜集相关资料，在此基础上制定了绩效评价实施方案，设计了绩效评价指标框架。根据实施方案的要求，评价小组围绕既定的评价指标框架开展了绩效评价工作，通过案卷研究、询问查证、抽查档案资料、组织座谈、实地走访调查等多种方式收集了充分的评价证据，在此基础上形成</w:t>
      </w:r>
      <w:r>
        <w:rPr>
          <w:rFonts w:hint="eastAsia" w:ascii="仿宋" w:hAnsi="仿宋" w:eastAsia="仿宋"/>
          <w:color w:val="auto"/>
          <w:sz w:val="28"/>
          <w:szCs w:val="28"/>
        </w:rPr>
        <w:t>《</w:t>
      </w:r>
      <w:r>
        <w:rPr>
          <w:rFonts w:hint="eastAsia" w:ascii="仿宋" w:hAnsi="仿宋" w:eastAsia="仿宋" w:cs="Times New Roman"/>
          <w:sz w:val="28"/>
          <w:szCs w:val="28"/>
        </w:rPr>
        <w:t>2023年度</w:t>
      </w:r>
      <w:r>
        <w:rPr>
          <w:rFonts w:hint="eastAsia" w:ascii="仿宋" w:hAnsi="仿宋" w:eastAsia="仿宋"/>
          <w:kern w:val="2"/>
          <w:sz w:val="28"/>
          <w:szCs w:val="28"/>
          <w:lang w:eastAsia="zh-CN"/>
        </w:rPr>
        <w:t>福州市仓山区环境卫生中心</w:t>
      </w:r>
      <w:r>
        <w:rPr>
          <w:rFonts w:hint="eastAsia" w:ascii="仿宋" w:hAnsi="仿宋" w:eastAsia="仿宋" w:cs="Times New Roman"/>
          <w:sz w:val="28"/>
          <w:szCs w:val="28"/>
          <w:lang w:eastAsia="zh-CN"/>
        </w:rPr>
        <w:t>道路清扫经费资金项目</w:t>
      </w:r>
      <w:r>
        <w:rPr>
          <w:rFonts w:hint="eastAsia" w:ascii="仿宋" w:hAnsi="仿宋" w:eastAsia="仿宋" w:cs="Times New Roman"/>
          <w:sz w:val="28"/>
          <w:szCs w:val="28"/>
        </w:rPr>
        <w:t>绩效评价报告</w:t>
      </w:r>
      <w:r>
        <w:rPr>
          <w:rFonts w:hint="eastAsia" w:ascii="仿宋" w:hAnsi="仿宋" w:eastAsia="仿宋"/>
          <w:color w:val="auto"/>
          <w:sz w:val="28"/>
          <w:szCs w:val="28"/>
        </w:rPr>
        <w:t>》。</w:t>
      </w:r>
    </w:p>
    <w:p>
      <w:pPr>
        <w:spacing w:line="520" w:lineRule="exact"/>
        <w:ind w:firstLine="560" w:firstLineChars="200"/>
        <w:outlineLvl w:val="0"/>
        <w:rPr>
          <w:rFonts w:hint="eastAsia" w:ascii="黑体" w:hAnsi="黑体" w:eastAsia="黑体" w:cs="黑体"/>
          <w:color w:val="auto"/>
          <w:sz w:val="32"/>
          <w:szCs w:val="32"/>
        </w:rPr>
      </w:pPr>
      <w:bookmarkStart w:id="6" w:name="_Toc22027"/>
      <w:r>
        <w:rPr>
          <w:rFonts w:hint="eastAsia" w:ascii="黑体" w:hAnsi="黑体" w:eastAsia="黑体" w:cs="黑体"/>
          <w:color w:val="auto"/>
          <w:sz w:val="28"/>
          <w:szCs w:val="28"/>
        </w:rPr>
        <w:t>一、项目基本情况</w:t>
      </w:r>
      <w:bookmarkEnd w:id="0"/>
      <w:bookmarkEnd w:id="1"/>
      <w:bookmarkEnd w:id="2"/>
      <w:bookmarkEnd w:id="3"/>
      <w:bookmarkEnd w:id="6"/>
    </w:p>
    <w:p>
      <w:pPr>
        <w:spacing w:line="520" w:lineRule="exact"/>
        <w:ind w:firstLine="560" w:firstLineChars="200"/>
        <w:outlineLvl w:val="1"/>
        <w:rPr>
          <w:rFonts w:hint="eastAsia" w:ascii="楷体" w:hAnsi="楷体" w:eastAsia="楷体" w:cs="楷体"/>
          <w:color w:val="auto"/>
          <w:sz w:val="28"/>
          <w:szCs w:val="28"/>
        </w:rPr>
      </w:pPr>
      <w:bookmarkStart w:id="7" w:name="_Toc14067"/>
      <w:bookmarkStart w:id="8" w:name="_Toc57299258"/>
      <w:bookmarkStart w:id="9" w:name="_Toc10484"/>
      <w:bookmarkStart w:id="10" w:name="_Toc6794"/>
      <w:bookmarkStart w:id="11" w:name="_Toc10295"/>
      <w:r>
        <w:rPr>
          <w:rFonts w:hint="eastAsia" w:ascii="楷体" w:hAnsi="楷体" w:eastAsia="楷体" w:cs="楷体"/>
          <w:color w:val="auto"/>
          <w:sz w:val="28"/>
          <w:szCs w:val="28"/>
        </w:rPr>
        <w:t>（一）概况</w:t>
      </w:r>
      <w:bookmarkEnd w:id="7"/>
      <w:bookmarkEnd w:id="8"/>
      <w:bookmarkEnd w:id="9"/>
      <w:bookmarkEnd w:id="10"/>
      <w:bookmarkEnd w:id="11"/>
    </w:p>
    <w:p>
      <w:pPr>
        <w:spacing w:line="520" w:lineRule="exact"/>
        <w:ind w:firstLine="562" w:firstLineChars="200"/>
        <w:outlineLvl w:val="9"/>
        <w:rPr>
          <w:rFonts w:hint="eastAsia" w:ascii="仿宋" w:hAnsi="仿宋" w:eastAsia="仿宋"/>
          <w:b/>
          <w:bCs/>
          <w:color w:val="auto"/>
          <w:sz w:val="28"/>
          <w:szCs w:val="28"/>
        </w:rPr>
      </w:pPr>
      <w:bookmarkStart w:id="12" w:name="_Toc24720"/>
      <w:bookmarkStart w:id="13" w:name="_Toc30625"/>
      <w:bookmarkStart w:id="14" w:name="_Toc10941"/>
      <w:r>
        <w:rPr>
          <w:rFonts w:hint="eastAsia" w:ascii="仿宋" w:hAnsi="仿宋" w:eastAsia="仿宋"/>
          <w:b/>
          <w:bCs/>
          <w:color w:val="auto"/>
          <w:sz w:val="28"/>
          <w:szCs w:val="28"/>
        </w:rPr>
        <w:t>1.项目立项的背景和目的</w:t>
      </w:r>
      <w:bookmarkEnd w:id="12"/>
      <w:bookmarkEnd w:id="13"/>
      <w:bookmarkEnd w:id="14"/>
    </w:p>
    <w:p>
      <w:pPr>
        <w:pStyle w:val="15"/>
        <w:adjustRightInd w:val="0"/>
        <w:snapToGrid w:val="0"/>
        <w:spacing w:line="520" w:lineRule="exact"/>
        <w:rPr>
          <w:rFonts w:hint="eastAsia" w:eastAsia="仿宋"/>
          <w:lang w:eastAsia="zh-CN"/>
        </w:rPr>
      </w:pPr>
      <w:r>
        <w:rPr>
          <w:rFonts w:hint="eastAsia" w:ascii="仿宋" w:hAnsi="仿宋" w:eastAsia="仿宋" w:cs="宋体"/>
          <w:szCs w:val="28"/>
        </w:rPr>
        <w:t>福州市</w:t>
      </w:r>
      <w:r>
        <w:rPr>
          <w:rFonts w:hint="eastAsia" w:ascii="仿宋" w:hAnsi="仿宋" w:eastAsia="仿宋" w:cs="宋体"/>
          <w:szCs w:val="28"/>
          <w:lang w:val="en-US" w:eastAsia="zh-CN"/>
        </w:rPr>
        <w:t>仓山区为进一步提高城区市政、园林等设施管理养护水平，持续巩固城市品质提升成果，仓山区道路清扫保洁、绿化带保洁、公共立面清理、果皮箱管养和市政设施清洗等，作业标准满足《福州市城市精细化管理提升方案和工作细则（试行）》等文件相关要求，</w:t>
      </w:r>
      <w:r>
        <w:rPr>
          <w:rFonts w:hint="eastAsia" w:ascii="仿宋" w:hAnsi="仿宋" w:eastAsia="仿宋" w:cs="宋体"/>
          <w:szCs w:val="28"/>
        </w:rPr>
        <w:t>由</w:t>
      </w:r>
      <w:r>
        <w:rPr>
          <w:rFonts w:hint="eastAsia" w:ascii="仿宋" w:hAnsi="仿宋" w:eastAsia="仿宋" w:cs="宋体"/>
          <w:szCs w:val="28"/>
          <w:lang w:eastAsia="zh-CN"/>
        </w:rPr>
        <w:t>福州市仓山区环境卫生中心</w:t>
      </w:r>
      <w:r>
        <w:rPr>
          <w:rFonts w:hint="eastAsia" w:ascii="仿宋" w:hAnsi="仿宋" w:eastAsia="仿宋" w:cs="宋体"/>
          <w:szCs w:val="28"/>
        </w:rPr>
        <w:t>具体实施</w:t>
      </w:r>
      <w:r>
        <w:rPr>
          <w:rFonts w:hint="eastAsia" w:ascii="仿宋" w:hAnsi="仿宋" w:eastAsia="仿宋" w:cs="宋体"/>
          <w:szCs w:val="28"/>
          <w:lang w:eastAsia="zh-CN"/>
        </w:rPr>
        <w:t>。</w:t>
      </w:r>
    </w:p>
    <w:p>
      <w:pPr>
        <w:tabs>
          <w:tab w:val="left" w:pos="120"/>
        </w:tabs>
        <w:spacing w:line="520" w:lineRule="exact"/>
        <w:ind w:firstLine="562" w:firstLineChars="200"/>
        <w:outlineLvl w:val="9"/>
        <w:rPr>
          <w:rFonts w:hint="eastAsia" w:ascii="仿宋" w:hAnsi="仿宋" w:eastAsia="仿宋"/>
          <w:b/>
          <w:bCs/>
          <w:color w:val="auto"/>
          <w:sz w:val="28"/>
          <w:szCs w:val="28"/>
        </w:rPr>
      </w:pPr>
      <w:bookmarkStart w:id="15" w:name="_Toc8432"/>
      <w:bookmarkStart w:id="16" w:name="_Toc22447"/>
      <w:bookmarkStart w:id="17" w:name="_Toc5967"/>
      <w:r>
        <w:rPr>
          <w:rFonts w:hint="eastAsia" w:ascii="仿宋" w:hAnsi="仿宋" w:eastAsia="仿宋"/>
          <w:b/>
          <w:bCs/>
          <w:color w:val="auto"/>
          <w:sz w:val="28"/>
          <w:szCs w:val="28"/>
        </w:rPr>
        <w:t>2.项目预算资金来源及使用情况</w:t>
      </w:r>
      <w:bookmarkEnd w:id="15"/>
      <w:bookmarkEnd w:id="16"/>
      <w:bookmarkEnd w:id="17"/>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default" w:ascii="仿宋" w:hAnsi="仿宋" w:eastAsia="仿宋"/>
          <w:sz w:val="28"/>
          <w:szCs w:val="28"/>
          <w:lang w:val="en-US" w:eastAsia="zh-CN"/>
        </w:rPr>
      </w:pPr>
      <w:r>
        <w:rPr>
          <w:rFonts w:hint="eastAsia" w:ascii="仿宋" w:hAnsi="仿宋" w:eastAsia="仿宋"/>
          <w:sz w:val="28"/>
          <w:szCs w:val="28"/>
          <w:lang w:val="en-US" w:eastAsia="zh-CN"/>
        </w:rPr>
        <w:t>2023年</w:t>
      </w:r>
      <w:r>
        <w:rPr>
          <w:rFonts w:hint="eastAsia" w:ascii="仿宋" w:hAnsi="仿宋" w:eastAsia="仿宋"/>
          <w:sz w:val="28"/>
          <w:szCs w:val="28"/>
          <w:lang w:eastAsia="zh-CN"/>
        </w:rPr>
        <w:t>福州市仓山区环境卫生中心</w:t>
      </w:r>
      <w:r>
        <w:rPr>
          <w:rFonts w:hint="eastAsia" w:ascii="仿宋" w:hAnsi="仿宋" w:eastAsia="仿宋"/>
          <w:kern w:val="2"/>
          <w:sz w:val="28"/>
          <w:szCs w:val="28"/>
          <w:lang w:eastAsia="zh-CN"/>
        </w:rPr>
        <w:t>道路清扫经费</w:t>
      </w:r>
      <w:r>
        <w:rPr>
          <w:rFonts w:hint="eastAsia" w:ascii="仿宋" w:hAnsi="仿宋" w:eastAsia="仿宋"/>
          <w:sz w:val="28"/>
          <w:szCs w:val="28"/>
        </w:rPr>
        <w:t>预算总额为</w:t>
      </w:r>
      <w:r>
        <w:rPr>
          <w:rFonts w:hint="eastAsia" w:ascii="仿宋" w:hAnsi="仿宋" w:eastAsia="仿宋"/>
          <w:sz w:val="28"/>
          <w:szCs w:val="28"/>
          <w:lang w:val="en-US" w:eastAsia="zh-CN"/>
        </w:rPr>
        <w:t>1924.00</w:t>
      </w:r>
      <w:r>
        <w:rPr>
          <w:rFonts w:hint="eastAsia" w:ascii="仿宋" w:hAnsi="仿宋" w:eastAsia="仿宋"/>
          <w:sz w:val="28"/>
          <w:szCs w:val="28"/>
        </w:rPr>
        <w:t>万元</w:t>
      </w:r>
      <w:r>
        <w:rPr>
          <w:rFonts w:hint="eastAsia" w:ascii="仿宋" w:hAnsi="仿宋" w:eastAsia="仿宋"/>
          <w:sz w:val="28"/>
          <w:szCs w:val="28"/>
          <w:lang w:eastAsia="zh-CN"/>
        </w:rPr>
        <w:t>，</w:t>
      </w:r>
      <w:r>
        <w:rPr>
          <w:rFonts w:hint="eastAsia" w:ascii="仿宋" w:hAnsi="仿宋" w:eastAsia="仿宋"/>
          <w:sz w:val="28"/>
          <w:szCs w:val="28"/>
          <w:lang w:val="en-US" w:eastAsia="zh-CN"/>
        </w:rPr>
        <w:t>均为一般公共预算（其中包括从仓山区城市管理局“公厕管养经费”调整144万元拨付至局下属区环卫中心账户用于“道路清扫经费”）</w:t>
      </w:r>
      <w:r>
        <w:rPr>
          <w:rFonts w:hint="eastAsia" w:ascii="仿宋" w:hAnsi="仿宋" w:eastAsia="仿宋"/>
          <w:sz w:val="28"/>
          <w:szCs w:val="28"/>
          <w:lang w:eastAsia="zh-CN"/>
        </w:rPr>
        <w:t>，</w:t>
      </w:r>
      <w:r>
        <w:rPr>
          <w:rFonts w:hint="eastAsia" w:ascii="仿宋" w:hAnsi="仿宋" w:eastAsia="仿宋"/>
          <w:sz w:val="28"/>
          <w:szCs w:val="28"/>
          <w:lang w:val="en-US" w:eastAsia="zh-CN"/>
        </w:rPr>
        <w:t>支出方向包括劳务费、委托业务费、水费、其他交通费用</w:t>
      </w:r>
      <w:r>
        <w:rPr>
          <w:rFonts w:hint="eastAsia" w:ascii="仿宋" w:hAnsi="仿宋" w:eastAsia="仿宋"/>
          <w:sz w:val="28"/>
          <w:szCs w:val="28"/>
          <w:lang w:eastAsia="zh-CN"/>
        </w:rPr>
        <w:t>。</w:t>
      </w:r>
      <w:r>
        <w:rPr>
          <w:rFonts w:hint="eastAsia" w:ascii="仿宋" w:hAnsi="仿宋" w:eastAsia="仿宋"/>
          <w:sz w:val="28"/>
          <w:szCs w:val="28"/>
          <w:lang w:val="en-US" w:eastAsia="zh-CN"/>
        </w:rPr>
        <w:t>其中30万元用于支付2023年1-3月洒水车水费，850万元用于支付2022年4月市场化经费，900万元用于支付所欠的2022年6月市场化经费，144万元用于支付2022年8月市场化经费。</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 w:hAnsi="仿宋" w:eastAsia="仿宋"/>
          <w:sz w:val="28"/>
          <w:szCs w:val="28"/>
        </w:rPr>
      </w:pPr>
      <w:r>
        <w:rPr>
          <w:rFonts w:hint="eastAsia" w:ascii="仿宋" w:hAnsi="仿宋" w:eastAsia="仿宋"/>
          <w:sz w:val="28"/>
          <w:szCs w:val="28"/>
          <w:lang w:val="en-US" w:eastAsia="zh-CN"/>
        </w:rPr>
        <w:t>截止2023年12月31日，道路清扫经费已支出1795.97万元，占总预算的93.35%，结余资金128.03万元。</w:t>
      </w:r>
      <w:r>
        <w:rPr>
          <w:rFonts w:hint="eastAsia" w:ascii="仿宋" w:hAnsi="仿宋" w:eastAsia="仿宋"/>
          <w:sz w:val="28"/>
          <w:szCs w:val="28"/>
        </w:rPr>
        <w:t>各</w:t>
      </w:r>
      <w:r>
        <w:rPr>
          <w:rFonts w:hint="eastAsia" w:ascii="仿宋" w:hAnsi="仿宋" w:eastAsia="仿宋"/>
          <w:sz w:val="28"/>
          <w:szCs w:val="28"/>
          <w:lang w:val="en-US" w:eastAsia="zh-CN"/>
        </w:rPr>
        <w:t>项目</w:t>
      </w:r>
      <w:r>
        <w:rPr>
          <w:rFonts w:hint="eastAsia" w:ascii="仿宋" w:hAnsi="仿宋" w:eastAsia="仿宋"/>
          <w:sz w:val="28"/>
          <w:szCs w:val="28"/>
        </w:rPr>
        <w:t>预算资金安排及使用情况详见表1-1。</w:t>
      </w:r>
    </w:p>
    <w:p>
      <w:pPr>
        <w:pStyle w:val="8"/>
        <w:spacing w:line="240" w:lineRule="auto"/>
        <w:ind w:left="0" w:leftChars="0" w:firstLine="1546" w:firstLineChars="700"/>
        <w:outlineLvl w:val="9"/>
        <w:rPr>
          <w:rFonts w:hint="eastAsia" w:ascii="仿宋" w:hAnsi="仿宋" w:eastAsia="仿宋" w:cs="宋体"/>
          <w:b/>
          <w:bCs/>
          <w:sz w:val="21"/>
          <w:szCs w:val="21"/>
        </w:rPr>
      </w:pPr>
      <w:bookmarkStart w:id="18" w:name="_Hlk172833055"/>
      <w:r>
        <w:rPr>
          <w:rStyle w:val="98"/>
          <w:rFonts w:hint="eastAsia" w:ascii="仿宋" w:hAnsi="仿宋" w:eastAsia="仿宋" w:cs="仿宋"/>
          <w:b/>
          <w:bCs/>
          <w:sz w:val="22"/>
          <w:szCs w:val="28"/>
        </w:rPr>
        <w:t>表 1-1 各</w:t>
      </w:r>
      <w:r>
        <w:rPr>
          <w:rStyle w:val="98"/>
          <w:rFonts w:hint="eastAsia" w:ascii="仿宋" w:hAnsi="仿宋" w:eastAsia="仿宋" w:cs="仿宋"/>
          <w:b/>
          <w:bCs/>
          <w:sz w:val="22"/>
          <w:szCs w:val="28"/>
          <w:lang w:val="en-US" w:eastAsia="zh-CN"/>
        </w:rPr>
        <w:t>项目</w:t>
      </w:r>
      <w:r>
        <w:rPr>
          <w:rStyle w:val="98"/>
          <w:rFonts w:hint="eastAsia" w:ascii="仿宋" w:hAnsi="仿宋" w:eastAsia="仿宋" w:cs="仿宋"/>
          <w:b/>
          <w:bCs/>
          <w:sz w:val="22"/>
          <w:szCs w:val="28"/>
        </w:rPr>
        <w:t>预算资金明细表</w:t>
      </w:r>
      <w:r>
        <w:rPr>
          <w:rFonts w:hint="eastAsia" w:ascii="仿宋" w:hAnsi="仿宋" w:eastAsia="仿宋" w:cs="宋体"/>
          <w:b/>
          <w:bCs/>
          <w:sz w:val="21"/>
          <w:szCs w:val="21"/>
        </w:rPr>
        <w:t xml:space="preserve">          </w:t>
      </w:r>
      <w:r>
        <w:rPr>
          <w:rFonts w:hint="eastAsia" w:ascii="仿宋" w:hAnsi="仿宋" w:eastAsia="仿宋" w:cs="宋体"/>
          <w:b/>
          <w:bCs/>
          <w:sz w:val="21"/>
          <w:szCs w:val="21"/>
          <w:lang w:val="en-US" w:eastAsia="zh-CN"/>
        </w:rPr>
        <w:t xml:space="preserve">    </w:t>
      </w:r>
      <w:r>
        <w:rPr>
          <w:rFonts w:hint="eastAsia" w:ascii="仿宋" w:hAnsi="仿宋" w:eastAsia="仿宋" w:cs="宋体"/>
          <w:b/>
          <w:bCs/>
          <w:sz w:val="21"/>
          <w:szCs w:val="21"/>
        </w:rPr>
        <w:t xml:space="preserve">  单位：万元</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2000"/>
        <w:gridCol w:w="2018"/>
        <w:gridCol w:w="2156"/>
        <w:gridCol w:w="214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2000" w:type="dxa"/>
            <w:shd w:val="clear" w:color="auto" w:fill="auto"/>
          </w:tcPr>
          <w:p>
            <w:pPr>
              <w:jc w:val="center"/>
              <w:rPr>
                <w:rFonts w:hint="eastAsia" w:ascii="仿宋" w:hAnsi="仿宋" w:eastAsia="仿宋"/>
                <w:b/>
                <w:bCs/>
                <w:lang w:val="en-US" w:eastAsia="zh-CN"/>
              </w:rPr>
            </w:pPr>
            <w:r>
              <w:rPr>
                <w:rFonts w:hint="eastAsia" w:ascii="仿宋" w:hAnsi="仿宋" w:eastAsia="仿宋"/>
                <w:b/>
                <w:bCs/>
                <w:lang w:val="en-US" w:eastAsia="zh-CN"/>
              </w:rPr>
              <w:t>项目</w:t>
            </w:r>
          </w:p>
        </w:tc>
        <w:tc>
          <w:tcPr>
            <w:tcW w:w="2018" w:type="dxa"/>
            <w:shd w:val="clear" w:color="auto" w:fill="auto"/>
          </w:tcPr>
          <w:p>
            <w:pPr>
              <w:jc w:val="center"/>
              <w:rPr>
                <w:rFonts w:hint="eastAsia" w:ascii="仿宋" w:hAnsi="仿宋" w:eastAsia="仿宋"/>
                <w:b/>
                <w:bCs/>
              </w:rPr>
            </w:pPr>
            <w:r>
              <w:rPr>
                <w:rFonts w:ascii="仿宋" w:hAnsi="仿宋" w:eastAsia="仿宋"/>
                <w:b/>
                <w:bCs/>
              </w:rPr>
              <w:t>预算资金</w:t>
            </w:r>
          </w:p>
        </w:tc>
        <w:tc>
          <w:tcPr>
            <w:tcW w:w="2156" w:type="dxa"/>
            <w:shd w:val="clear" w:color="auto" w:fill="auto"/>
          </w:tcPr>
          <w:p>
            <w:pPr>
              <w:jc w:val="center"/>
              <w:rPr>
                <w:rFonts w:hint="eastAsia" w:ascii="仿宋" w:hAnsi="仿宋" w:eastAsia="仿宋"/>
                <w:b/>
                <w:bCs/>
              </w:rPr>
            </w:pPr>
            <w:r>
              <w:rPr>
                <w:rFonts w:ascii="仿宋" w:hAnsi="仿宋" w:eastAsia="仿宋"/>
                <w:b/>
                <w:bCs/>
              </w:rPr>
              <w:t>实际到位资金</w:t>
            </w:r>
          </w:p>
        </w:tc>
        <w:tc>
          <w:tcPr>
            <w:tcW w:w="2146" w:type="dxa"/>
            <w:shd w:val="clear" w:color="auto" w:fill="auto"/>
          </w:tcPr>
          <w:p>
            <w:pPr>
              <w:jc w:val="center"/>
              <w:rPr>
                <w:rFonts w:hint="eastAsia" w:ascii="仿宋" w:hAnsi="仿宋" w:eastAsia="仿宋"/>
                <w:b/>
                <w:bCs/>
              </w:rPr>
            </w:pPr>
            <w:r>
              <w:rPr>
                <w:rFonts w:ascii="仿宋" w:hAnsi="仿宋" w:eastAsia="仿宋"/>
                <w:b/>
                <w:bCs/>
              </w:rPr>
              <w:t>实际支出资金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2000" w:type="dxa"/>
            <w:shd w:val="clear" w:color="auto" w:fill="auto"/>
          </w:tcPr>
          <w:p>
            <w:pPr>
              <w:jc w:val="center"/>
              <w:rPr>
                <w:rFonts w:hint="eastAsia" w:ascii="仿宋" w:hAnsi="仿宋" w:eastAsia="仿宋"/>
                <w:lang w:eastAsia="zh-CN"/>
              </w:rPr>
            </w:pPr>
            <w:r>
              <w:rPr>
                <w:rFonts w:hint="eastAsia" w:ascii="仿宋" w:hAnsi="仿宋" w:eastAsia="仿宋"/>
                <w:lang w:val="en-US" w:eastAsia="zh-CN"/>
              </w:rPr>
              <w:t>劳务费</w:t>
            </w:r>
          </w:p>
        </w:tc>
        <w:tc>
          <w:tcPr>
            <w:tcW w:w="2018" w:type="dxa"/>
            <w:shd w:val="clear" w:color="auto" w:fill="auto"/>
          </w:tcPr>
          <w:p>
            <w:pPr>
              <w:jc w:val="center"/>
              <w:rPr>
                <w:rFonts w:hint="default" w:ascii="仿宋" w:hAnsi="仿宋" w:eastAsia="仿宋"/>
                <w:lang w:val="en-US" w:eastAsia="zh-CN"/>
              </w:rPr>
            </w:pPr>
            <w:r>
              <w:rPr>
                <w:rFonts w:hint="eastAsia" w:ascii="仿宋" w:hAnsi="仿宋" w:eastAsia="仿宋"/>
                <w:lang w:val="en-US" w:eastAsia="zh-CN"/>
              </w:rPr>
              <w:t>0</w:t>
            </w:r>
          </w:p>
        </w:tc>
        <w:tc>
          <w:tcPr>
            <w:tcW w:w="2156" w:type="dxa"/>
            <w:shd w:val="clear" w:color="auto" w:fill="auto"/>
            <w:vAlign w:val="top"/>
          </w:tcPr>
          <w:p>
            <w:pPr>
              <w:jc w:val="center"/>
              <w:rPr>
                <w:rFonts w:hint="default" w:ascii="仿宋" w:hAnsi="仿宋" w:eastAsia="仿宋" w:cs="Arial"/>
                <w:snapToGrid w:val="0"/>
                <w:color w:val="000000"/>
                <w:kern w:val="0"/>
                <w:sz w:val="21"/>
                <w:szCs w:val="21"/>
                <w:lang w:val="en-US" w:eastAsia="zh-CN" w:bidi="ar-SA"/>
              </w:rPr>
            </w:pPr>
            <w:r>
              <w:rPr>
                <w:rFonts w:hint="eastAsia" w:ascii="仿宋" w:hAnsi="仿宋" w:eastAsia="仿宋" w:cs="Arial"/>
                <w:snapToGrid w:val="0"/>
                <w:color w:val="000000"/>
                <w:kern w:val="0"/>
                <w:sz w:val="21"/>
                <w:szCs w:val="21"/>
                <w:lang w:val="en-US" w:eastAsia="zh-CN" w:bidi="ar-SA"/>
              </w:rPr>
              <w:t>0</w:t>
            </w:r>
          </w:p>
        </w:tc>
        <w:tc>
          <w:tcPr>
            <w:tcW w:w="2146" w:type="dxa"/>
            <w:shd w:val="clear" w:color="auto" w:fill="auto"/>
            <w:vAlign w:val="center"/>
          </w:tcPr>
          <w:p>
            <w:pPr>
              <w:jc w:val="center"/>
              <w:rPr>
                <w:rFonts w:hint="default" w:ascii="仿宋" w:hAnsi="仿宋" w:eastAsia="仿宋"/>
                <w:lang w:val="en-US" w:eastAsia="zh-CN"/>
              </w:rPr>
            </w:pPr>
            <w:r>
              <w:rPr>
                <w:rFonts w:hint="eastAsia" w:ascii="仿宋" w:hAnsi="仿宋" w:eastAsia="仿宋"/>
                <w:lang w:val="en-US" w:eastAsia="zh-CN"/>
              </w:rPr>
              <w:t>1.88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2000" w:type="dxa"/>
            <w:shd w:val="clear" w:color="auto" w:fill="auto"/>
          </w:tcPr>
          <w:p>
            <w:pPr>
              <w:jc w:val="center"/>
              <w:rPr>
                <w:rFonts w:hint="default" w:ascii="仿宋" w:hAnsi="仿宋" w:eastAsia="仿宋"/>
                <w:lang w:val="en-US" w:eastAsia="zh-CN"/>
              </w:rPr>
            </w:pPr>
            <w:r>
              <w:rPr>
                <w:rFonts w:hint="eastAsia" w:ascii="仿宋" w:hAnsi="仿宋" w:eastAsia="仿宋"/>
                <w:lang w:val="en-US" w:eastAsia="zh-CN"/>
              </w:rPr>
              <w:t>委托业务费</w:t>
            </w:r>
          </w:p>
        </w:tc>
        <w:tc>
          <w:tcPr>
            <w:tcW w:w="2018" w:type="dxa"/>
            <w:shd w:val="clear" w:color="auto" w:fill="auto"/>
          </w:tcPr>
          <w:p>
            <w:pPr>
              <w:jc w:val="center"/>
              <w:rPr>
                <w:rFonts w:hint="default" w:ascii="仿宋" w:hAnsi="仿宋" w:eastAsia="仿宋"/>
                <w:lang w:val="en-US" w:eastAsia="zh-CN"/>
              </w:rPr>
            </w:pPr>
            <w:r>
              <w:rPr>
                <w:rFonts w:hint="eastAsia" w:ascii="仿宋" w:hAnsi="仿宋" w:eastAsia="仿宋"/>
                <w:lang w:val="en-US" w:eastAsia="zh-CN"/>
              </w:rPr>
              <w:t>1894</w:t>
            </w:r>
          </w:p>
        </w:tc>
        <w:tc>
          <w:tcPr>
            <w:tcW w:w="2156" w:type="dxa"/>
            <w:shd w:val="clear" w:color="auto" w:fill="auto"/>
            <w:vAlign w:val="top"/>
          </w:tcPr>
          <w:p>
            <w:pPr>
              <w:jc w:val="center"/>
              <w:rPr>
                <w:rFonts w:hint="default" w:ascii="仿宋" w:hAnsi="仿宋" w:eastAsia="仿宋" w:cs="Arial"/>
                <w:snapToGrid w:val="0"/>
                <w:color w:val="000000"/>
                <w:kern w:val="0"/>
                <w:sz w:val="21"/>
                <w:szCs w:val="21"/>
                <w:lang w:val="en-US" w:eastAsia="zh-CN" w:bidi="ar-SA"/>
              </w:rPr>
            </w:pPr>
            <w:r>
              <w:rPr>
                <w:rFonts w:hint="eastAsia" w:ascii="仿宋" w:hAnsi="仿宋" w:eastAsia="仿宋" w:cs="Arial"/>
                <w:snapToGrid w:val="0"/>
                <w:color w:val="000000"/>
                <w:kern w:val="0"/>
                <w:sz w:val="21"/>
                <w:szCs w:val="21"/>
                <w:lang w:val="en-US" w:eastAsia="zh-CN" w:bidi="ar-SA"/>
              </w:rPr>
              <w:t>1894</w:t>
            </w:r>
          </w:p>
        </w:tc>
        <w:tc>
          <w:tcPr>
            <w:tcW w:w="2146" w:type="dxa"/>
            <w:shd w:val="clear" w:color="auto" w:fill="auto"/>
            <w:vAlign w:val="center"/>
          </w:tcPr>
          <w:p>
            <w:pPr>
              <w:jc w:val="center"/>
              <w:rPr>
                <w:rFonts w:hint="default" w:ascii="仿宋" w:hAnsi="仿宋" w:eastAsia="仿宋"/>
                <w:lang w:val="en-US" w:eastAsia="zh-CN"/>
              </w:rPr>
            </w:pPr>
            <w:r>
              <w:rPr>
                <w:rFonts w:hint="eastAsia" w:ascii="仿宋" w:hAnsi="仿宋" w:eastAsia="仿宋"/>
                <w:lang w:val="en-US" w:eastAsia="zh-CN"/>
              </w:rPr>
              <w:t>1774.83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2000" w:type="dxa"/>
            <w:shd w:val="clear" w:color="auto" w:fill="auto"/>
          </w:tcPr>
          <w:p>
            <w:pPr>
              <w:jc w:val="center"/>
              <w:rPr>
                <w:rFonts w:hint="default" w:ascii="仿宋" w:hAnsi="仿宋" w:eastAsia="仿宋"/>
                <w:lang w:val="en-US" w:eastAsia="zh-CN"/>
              </w:rPr>
            </w:pPr>
            <w:r>
              <w:rPr>
                <w:rFonts w:hint="eastAsia" w:ascii="仿宋" w:hAnsi="仿宋" w:eastAsia="仿宋"/>
                <w:lang w:val="en-US" w:eastAsia="zh-CN"/>
              </w:rPr>
              <w:t>水费</w:t>
            </w:r>
          </w:p>
        </w:tc>
        <w:tc>
          <w:tcPr>
            <w:tcW w:w="2018" w:type="dxa"/>
            <w:shd w:val="clear" w:color="auto" w:fill="auto"/>
          </w:tcPr>
          <w:p>
            <w:pPr>
              <w:jc w:val="center"/>
              <w:rPr>
                <w:rFonts w:hint="default" w:ascii="仿宋" w:hAnsi="仿宋" w:eastAsia="仿宋"/>
                <w:lang w:val="en-US" w:eastAsia="zh-CN"/>
              </w:rPr>
            </w:pPr>
            <w:r>
              <w:rPr>
                <w:rFonts w:hint="eastAsia" w:ascii="仿宋" w:hAnsi="仿宋" w:eastAsia="仿宋"/>
                <w:lang w:val="en-US" w:eastAsia="zh-CN"/>
              </w:rPr>
              <w:t>30</w:t>
            </w:r>
          </w:p>
        </w:tc>
        <w:tc>
          <w:tcPr>
            <w:tcW w:w="2156" w:type="dxa"/>
            <w:shd w:val="clear" w:color="auto" w:fill="auto"/>
            <w:vAlign w:val="top"/>
          </w:tcPr>
          <w:p>
            <w:pPr>
              <w:jc w:val="center"/>
              <w:rPr>
                <w:rFonts w:hint="default" w:ascii="仿宋" w:hAnsi="仿宋" w:eastAsia="仿宋" w:cs="Arial"/>
                <w:snapToGrid w:val="0"/>
                <w:color w:val="000000"/>
                <w:kern w:val="0"/>
                <w:sz w:val="21"/>
                <w:szCs w:val="21"/>
                <w:lang w:val="en-US" w:eastAsia="zh-CN" w:bidi="ar-SA"/>
              </w:rPr>
            </w:pPr>
            <w:r>
              <w:rPr>
                <w:rFonts w:hint="eastAsia" w:ascii="仿宋" w:hAnsi="仿宋" w:eastAsia="仿宋" w:cs="Arial"/>
                <w:snapToGrid w:val="0"/>
                <w:color w:val="000000"/>
                <w:kern w:val="0"/>
                <w:sz w:val="21"/>
                <w:szCs w:val="21"/>
                <w:lang w:val="en-US" w:eastAsia="zh-CN" w:bidi="ar-SA"/>
              </w:rPr>
              <w:t>30</w:t>
            </w:r>
          </w:p>
        </w:tc>
        <w:tc>
          <w:tcPr>
            <w:tcW w:w="2146" w:type="dxa"/>
            <w:shd w:val="clear" w:color="auto" w:fill="auto"/>
            <w:vAlign w:val="center"/>
          </w:tcPr>
          <w:p>
            <w:pPr>
              <w:jc w:val="center"/>
              <w:rPr>
                <w:rFonts w:hint="default" w:ascii="仿宋" w:hAnsi="仿宋" w:eastAsia="仿宋"/>
                <w:lang w:val="en-US" w:eastAsia="zh-CN"/>
              </w:rPr>
            </w:pPr>
            <w:r>
              <w:rPr>
                <w:rFonts w:hint="eastAsia" w:ascii="仿宋" w:hAnsi="仿宋" w:eastAsia="仿宋"/>
                <w:lang w:val="en-US" w:eastAsia="zh-CN"/>
              </w:rPr>
              <w:t>18.82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5" w:hRule="atLeast"/>
          <w:jc w:val="center"/>
        </w:trPr>
        <w:tc>
          <w:tcPr>
            <w:tcW w:w="2000" w:type="dxa"/>
            <w:shd w:val="clear" w:color="auto" w:fill="auto"/>
          </w:tcPr>
          <w:p>
            <w:pPr>
              <w:jc w:val="center"/>
              <w:rPr>
                <w:rFonts w:hint="eastAsia" w:ascii="仿宋" w:hAnsi="仿宋" w:eastAsia="仿宋"/>
              </w:rPr>
            </w:pPr>
            <w:r>
              <w:rPr>
                <w:rFonts w:hint="eastAsia" w:ascii="仿宋" w:hAnsi="仿宋" w:eastAsia="仿宋"/>
                <w:lang w:val="en-US" w:eastAsia="zh-CN"/>
              </w:rPr>
              <w:t>其他交通费用</w:t>
            </w:r>
          </w:p>
        </w:tc>
        <w:tc>
          <w:tcPr>
            <w:tcW w:w="2018" w:type="dxa"/>
            <w:shd w:val="clear" w:color="auto" w:fill="auto"/>
          </w:tcPr>
          <w:p>
            <w:pPr>
              <w:jc w:val="center"/>
              <w:rPr>
                <w:rFonts w:hint="default" w:ascii="仿宋" w:hAnsi="仿宋" w:eastAsia="仿宋"/>
                <w:lang w:val="en-US" w:eastAsia="zh-CN"/>
              </w:rPr>
            </w:pPr>
            <w:r>
              <w:rPr>
                <w:rFonts w:hint="eastAsia" w:ascii="仿宋" w:hAnsi="仿宋" w:eastAsia="仿宋"/>
                <w:lang w:val="en-US" w:eastAsia="zh-CN"/>
              </w:rPr>
              <w:t>0</w:t>
            </w:r>
          </w:p>
        </w:tc>
        <w:tc>
          <w:tcPr>
            <w:tcW w:w="2156" w:type="dxa"/>
            <w:shd w:val="clear" w:color="auto" w:fill="auto"/>
            <w:vAlign w:val="top"/>
          </w:tcPr>
          <w:p>
            <w:pPr>
              <w:jc w:val="center"/>
              <w:rPr>
                <w:rFonts w:hint="default" w:ascii="仿宋" w:hAnsi="仿宋" w:eastAsia="仿宋" w:cs="Arial"/>
                <w:snapToGrid w:val="0"/>
                <w:color w:val="000000"/>
                <w:kern w:val="0"/>
                <w:sz w:val="21"/>
                <w:szCs w:val="21"/>
                <w:lang w:val="en-US" w:eastAsia="zh-CN" w:bidi="ar-SA"/>
              </w:rPr>
            </w:pPr>
            <w:r>
              <w:rPr>
                <w:rFonts w:hint="eastAsia" w:ascii="仿宋" w:hAnsi="仿宋" w:eastAsia="仿宋" w:cs="Arial"/>
                <w:snapToGrid w:val="0"/>
                <w:color w:val="000000"/>
                <w:kern w:val="0"/>
                <w:sz w:val="21"/>
                <w:szCs w:val="21"/>
                <w:lang w:val="en-US" w:eastAsia="zh-CN" w:bidi="ar-SA"/>
              </w:rPr>
              <w:t>0</w:t>
            </w:r>
          </w:p>
        </w:tc>
        <w:tc>
          <w:tcPr>
            <w:tcW w:w="2146" w:type="dxa"/>
            <w:shd w:val="clear" w:color="auto" w:fill="auto"/>
            <w:vAlign w:val="center"/>
          </w:tcPr>
          <w:p>
            <w:pPr>
              <w:jc w:val="center"/>
              <w:rPr>
                <w:rFonts w:hint="default" w:ascii="仿宋" w:hAnsi="仿宋" w:eastAsia="仿宋"/>
                <w:lang w:val="en-US" w:eastAsia="zh-CN"/>
              </w:rPr>
            </w:pPr>
            <w:r>
              <w:rPr>
                <w:rFonts w:hint="eastAsia" w:ascii="仿宋" w:hAnsi="仿宋" w:eastAsia="仿宋"/>
                <w:lang w:val="en-US" w:eastAsia="zh-CN"/>
              </w:rPr>
              <w:t>0.44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69" w:hRule="atLeast"/>
          <w:jc w:val="center"/>
        </w:trPr>
        <w:tc>
          <w:tcPr>
            <w:tcW w:w="2000" w:type="dxa"/>
            <w:shd w:val="clear" w:color="auto" w:fill="auto"/>
          </w:tcPr>
          <w:p>
            <w:pPr>
              <w:jc w:val="center"/>
              <w:rPr>
                <w:rFonts w:hint="eastAsia" w:ascii="仿宋" w:hAnsi="仿宋" w:eastAsia="仿宋"/>
                <w:b/>
                <w:bCs/>
              </w:rPr>
            </w:pPr>
            <w:r>
              <w:rPr>
                <w:rFonts w:hint="eastAsia" w:ascii="仿宋" w:hAnsi="仿宋" w:eastAsia="仿宋"/>
                <w:b/>
                <w:bCs/>
              </w:rPr>
              <w:t>合计</w:t>
            </w:r>
          </w:p>
        </w:tc>
        <w:tc>
          <w:tcPr>
            <w:tcW w:w="2018" w:type="dxa"/>
            <w:shd w:val="clear" w:color="auto" w:fill="auto"/>
          </w:tcPr>
          <w:p>
            <w:pPr>
              <w:jc w:val="center"/>
              <w:rPr>
                <w:rFonts w:hint="default" w:ascii="仿宋" w:hAnsi="仿宋" w:eastAsia="仿宋"/>
                <w:b/>
                <w:bCs/>
                <w:lang w:val="en-US" w:eastAsia="zh-CN"/>
              </w:rPr>
            </w:pPr>
            <w:r>
              <w:rPr>
                <w:rFonts w:hint="eastAsia" w:ascii="仿宋" w:hAnsi="仿宋" w:eastAsia="仿宋"/>
                <w:b/>
                <w:bCs/>
                <w:lang w:val="en-US" w:eastAsia="zh-CN"/>
              </w:rPr>
              <w:t>1924.00</w:t>
            </w:r>
          </w:p>
        </w:tc>
        <w:tc>
          <w:tcPr>
            <w:tcW w:w="2156" w:type="dxa"/>
            <w:shd w:val="clear" w:color="auto" w:fill="auto"/>
            <w:vAlign w:val="top"/>
          </w:tcPr>
          <w:p>
            <w:pPr>
              <w:jc w:val="center"/>
              <w:rPr>
                <w:rFonts w:hint="default" w:ascii="仿宋" w:hAnsi="仿宋" w:eastAsia="仿宋" w:cs="Arial"/>
                <w:b/>
                <w:bCs/>
                <w:snapToGrid w:val="0"/>
                <w:color w:val="000000"/>
                <w:kern w:val="0"/>
                <w:sz w:val="21"/>
                <w:szCs w:val="21"/>
                <w:lang w:val="en-US" w:eastAsia="zh-CN" w:bidi="ar-SA"/>
              </w:rPr>
            </w:pPr>
            <w:r>
              <w:rPr>
                <w:rFonts w:hint="eastAsia" w:ascii="仿宋" w:hAnsi="仿宋" w:eastAsia="仿宋" w:cs="Arial"/>
                <w:b/>
                <w:bCs/>
                <w:snapToGrid w:val="0"/>
                <w:color w:val="000000"/>
                <w:kern w:val="0"/>
                <w:sz w:val="21"/>
                <w:szCs w:val="21"/>
                <w:lang w:val="en-US" w:eastAsia="zh-CN" w:bidi="ar-SA"/>
              </w:rPr>
              <w:t>1924</w:t>
            </w:r>
          </w:p>
        </w:tc>
        <w:tc>
          <w:tcPr>
            <w:tcW w:w="2146" w:type="dxa"/>
            <w:shd w:val="clear" w:color="auto" w:fill="auto"/>
          </w:tcPr>
          <w:p>
            <w:pPr>
              <w:jc w:val="center"/>
              <w:rPr>
                <w:rFonts w:hint="default" w:ascii="仿宋" w:hAnsi="仿宋" w:eastAsia="仿宋"/>
                <w:b/>
                <w:bCs/>
                <w:lang w:val="en-US" w:eastAsia="zh-CN"/>
              </w:rPr>
            </w:pPr>
            <w:r>
              <w:rPr>
                <w:rFonts w:hint="eastAsia" w:ascii="仿宋" w:hAnsi="仿宋" w:eastAsia="仿宋"/>
                <w:b/>
                <w:bCs/>
                <w:lang w:val="en-US" w:eastAsia="zh-CN"/>
              </w:rPr>
              <w:t>1795.97</w:t>
            </w:r>
          </w:p>
        </w:tc>
      </w:tr>
      <w:bookmarkEnd w:id="4"/>
      <w:bookmarkEnd w:id="5"/>
      <w:bookmarkEnd w:id="18"/>
    </w:tbl>
    <w:p>
      <w:pPr>
        <w:tabs>
          <w:tab w:val="left" w:pos="120"/>
        </w:tabs>
        <w:spacing w:line="520" w:lineRule="exact"/>
        <w:ind w:firstLine="562" w:firstLineChars="200"/>
        <w:outlineLvl w:val="9"/>
        <w:rPr>
          <w:rFonts w:hint="eastAsia" w:ascii="仿宋" w:hAnsi="仿宋" w:eastAsia="仿宋"/>
          <w:b/>
          <w:bCs/>
          <w:color w:val="auto"/>
          <w:sz w:val="28"/>
          <w:szCs w:val="28"/>
        </w:rPr>
      </w:pPr>
      <w:bookmarkStart w:id="19" w:name="_Toc25606"/>
      <w:bookmarkStart w:id="20" w:name="_Toc25101"/>
      <w:bookmarkStart w:id="21" w:name="_Toc6348"/>
      <w:r>
        <w:rPr>
          <w:rFonts w:hint="eastAsia" w:ascii="仿宋" w:hAnsi="仿宋" w:eastAsia="仿宋"/>
          <w:b/>
          <w:bCs/>
          <w:color w:val="auto"/>
          <w:sz w:val="28"/>
          <w:szCs w:val="28"/>
        </w:rPr>
        <w:t>3.项目实施内容</w:t>
      </w:r>
      <w:bookmarkEnd w:id="19"/>
      <w:bookmarkEnd w:id="20"/>
      <w:bookmarkEnd w:id="21"/>
    </w:p>
    <w:p>
      <w:pPr>
        <w:spacing w:line="520" w:lineRule="exact"/>
        <w:ind w:firstLine="560" w:firstLineChars="200"/>
        <w:rPr>
          <w:rFonts w:hint="eastAsia" w:ascii="仿宋" w:hAnsi="仿宋" w:eastAsia="仿宋" w:cs="宋体"/>
          <w:sz w:val="28"/>
          <w:szCs w:val="28"/>
          <w:lang w:eastAsia="zh-CN"/>
        </w:rPr>
      </w:pPr>
      <w:r>
        <w:rPr>
          <w:rFonts w:hint="eastAsia" w:ascii="仿宋" w:hAnsi="仿宋" w:eastAsia="仿宋" w:cs="宋体"/>
          <w:sz w:val="28"/>
          <w:szCs w:val="28"/>
        </w:rPr>
        <w:t>2023年度</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rPr>
        <w:t>道路清扫经费资金项目支出重点围绕</w:t>
      </w:r>
      <w:r>
        <w:rPr>
          <w:rFonts w:hint="eastAsia" w:ascii="仿宋" w:hAnsi="仿宋" w:eastAsia="仿宋" w:cs="宋体"/>
          <w:sz w:val="28"/>
          <w:szCs w:val="28"/>
          <w:lang w:val="en-US" w:eastAsia="zh-CN"/>
        </w:rPr>
        <w:t>为</w:t>
      </w:r>
      <w:r>
        <w:rPr>
          <w:rFonts w:hint="eastAsia" w:ascii="仿宋" w:hAnsi="仿宋" w:eastAsia="仿宋" w:cs="宋体"/>
          <w:sz w:val="28"/>
          <w:szCs w:val="28"/>
        </w:rPr>
        <w:t>达到城管委要求的精细化作业标准，提高群众宜居环境等内容，</w:t>
      </w:r>
      <w:r>
        <w:rPr>
          <w:rFonts w:hint="eastAsia" w:ascii="仿宋" w:hAnsi="仿宋" w:eastAsia="仿宋" w:cs="宋体"/>
          <w:sz w:val="28"/>
          <w:szCs w:val="28"/>
          <w:lang w:eastAsia="zh-CN"/>
        </w:rPr>
        <w:t>涉及</w:t>
      </w:r>
      <w:r>
        <w:rPr>
          <w:rFonts w:hint="eastAsia" w:ascii="仿宋" w:hAnsi="仿宋" w:eastAsia="仿宋" w:cs="宋体"/>
          <w:sz w:val="28"/>
          <w:szCs w:val="28"/>
          <w:lang w:val="en-US" w:eastAsia="zh-CN"/>
        </w:rPr>
        <w:t>4</w:t>
      </w:r>
      <w:r>
        <w:rPr>
          <w:rFonts w:hint="eastAsia" w:ascii="仿宋" w:hAnsi="仿宋" w:eastAsia="仿宋" w:cs="宋体"/>
          <w:sz w:val="28"/>
          <w:szCs w:val="28"/>
        </w:rPr>
        <w:t>个项目。具体为：</w:t>
      </w:r>
      <w:r>
        <w:rPr>
          <w:rFonts w:hint="eastAsia" w:ascii="仿宋" w:hAnsi="仿宋" w:eastAsia="仿宋" w:cs="宋体"/>
          <w:sz w:val="28"/>
          <w:szCs w:val="28"/>
          <w:lang w:val="en-US" w:eastAsia="zh-CN"/>
        </w:rPr>
        <w:t>劳务费、委托业务费、水费、其他交通费用</w:t>
      </w:r>
      <w:r>
        <w:rPr>
          <w:rFonts w:hint="eastAsia" w:ascii="仿宋" w:hAnsi="仿宋" w:eastAsia="仿宋" w:cs="宋体"/>
          <w:sz w:val="28"/>
          <w:szCs w:val="28"/>
          <w:lang w:eastAsia="zh-CN"/>
        </w:rPr>
        <w:t>。</w:t>
      </w:r>
      <w:bookmarkStart w:id="22" w:name="_Toc5310"/>
      <w:bookmarkStart w:id="23" w:name="_Toc26086"/>
      <w:bookmarkStart w:id="24" w:name="_Toc57299259"/>
      <w:bookmarkStart w:id="25" w:name="_Toc13054"/>
    </w:p>
    <w:p>
      <w:pPr>
        <w:spacing w:line="520" w:lineRule="exact"/>
        <w:ind w:firstLine="560" w:firstLineChars="200"/>
        <w:outlineLvl w:val="1"/>
        <w:rPr>
          <w:rFonts w:hint="eastAsia" w:ascii="楷体" w:hAnsi="楷体" w:eastAsia="楷体" w:cs="楷体"/>
          <w:color w:val="auto"/>
          <w:sz w:val="28"/>
          <w:szCs w:val="28"/>
        </w:rPr>
      </w:pPr>
      <w:bookmarkStart w:id="26" w:name="_Toc25863"/>
      <w:r>
        <w:rPr>
          <w:rFonts w:hint="eastAsia" w:ascii="楷体" w:hAnsi="楷体" w:eastAsia="楷体" w:cs="楷体"/>
          <w:color w:val="auto"/>
          <w:sz w:val="28"/>
          <w:szCs w:val="28"/>
        </w:rPr>
        <w:t>（二）项目绩效目标</w:t>
      </w:r>
      <w:bookmarkEnd w:id="22"/>
      <w:bookmarkEnd w:id="23"/>
      <w:bookmarkEnd w:id="24"/>
      <w:bookmarkEnd w:id="25"/>
      <w:bookmarkEnd w:id="26"/>
    </w:p>
    <w:p>
      <w:pPr>
        <w:spacing w:line="520" w:lineRule="exact"/>
        <w:ind w:firstLine="562" w:firstLineChars="200"/>
        <w:outlineLvl w:val="9"/>
        <w:rPr>
          <w:rFonts w:hint="eastAsia" w:ascii="仿宋" w:hAnsi="仿宋" w:eastAsia="仿宋"/>
          <w:b/>
          <w:bCs/>
          <w:color w:val="auto"/>
          <w:sz w:val="28"/>
          <w:szCs w:val="28"/>
        </w:rPr>
      </w:pPr>
      <w:bookmarkStart w:id="27" w:name="_Toc4497"/>
      <w:bookmarkStart w:id="28" w:name="_Toc4577"/>
      <w:bookmarkStart w:id="29" w:name="_Toc13513"/>
      <w:r>
        <w:rPr>
          <w:rFonts w:hint="eastAsia" w:ascii="仿宋" w:hAnsi="仿宋" w:eastAsia="仿宋"/>
          <w:b/>
          <w:bCs/>
          <w:color w:val="auto"/>
          <w:sz w:val="28"/>
          <w:szCs w:val="28"/>
        </w:rPr>
        <w:t>1.绩效总目标</w:t>
      </w:r>
      <w:bookmarkEnd w:id="27"/>
      <w:bookmarkEnd w:id="28"/>
      <w:bookmarkEnd w:id="29"/>
    </w:p>
    <w:p>
      <w:pPr>
        <w:spacing w:line="520" w:lineRule="exact"/>
        <w:ind w:firstLine="560" w:firstLineChars="200"/>
        <w:rPr>
          <w:rFonts w:hint="eastAsia" w:ascii="仿宋" w:hAnsi="仿宋" w:eastAsia="仿宋" w:cs="宋体"/>
          <w:sz w:val="28"/>
          <w:szCs w:val="28"/>
          <w:lang w:eastAsia="zh-CN"/>
        </w:rPr>
      </w:pPr>
      <w:r>
        <w:rPr>
          <w:rFonts w:hint="eastAsia" w:ascii="仿宋" w:hAnsi="仿宋" w:eastAsia="仿宋" w:cs="宋体"/>
          <w:sz w:val="28"/>
          <w:szCs w:val="28"/>
        </w:rPr>
        <w:t>2023年度</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rPr>
        <w:t>道路清扫经费</w:t>
      </w:r>
      <w:r>
        <w:rPr>
          <w:rFonts w:hint="eastAsia" w:ascii="仿宋" w:hAnsi="仿宋" w:eastAsia="仿宋" w:cs="宋体"/>
          <w:sz w:val="28"/>
          <w:szCs w:val="28"/>
          <w:lang w:val="en-US" w:eastAsia="zh-CN"/>
        </w:rPr>
        <w:t>的绩效总目标为：保证</w:t>
      </w:r>
      <w:r>
        <w:rPr>
          <w:rFonts w:hint="eastAsia" w:ascii="仿宋" w:hAnsi="仿宋" w:eastAsia="仿宋" w:cs="宋体"/>
          <w:sz w:val="28"/>
          <w:szCs w:val="28"/>
        </w:rPr>
        <w:t>仓山区道路清扫保洁、绿化带保洁、公共立面清理、果皮箱管养和市政设施清洗等，作业标准满足《福州市城市精细化管理提升方案和工作细则（试行）》等文件相关要求</w:t>
      </w:r>
      <w:r>
        <w:rPr>
          <w:rFonts w:hint="eastAsia" w:ascii="仿宋" w:hAnsi="仿宋" w:eastAsia="仿宋" w:cs="宋体"/>
          <w:sz w:val="28"/>
          <w:szCs w:val="28"/>
          <w:lang w:eastAsia="zh-CN"/>
        </w:rPr>
        <w:t>。</w:t>
      </w:r>
    </w:p>
    <w:p>
      <w:pPr>
        <w:spacing w:line="520" w:lineRule="exact"/>
        <w:ind w:firstLine="562" w:firstLineChars="200"/>
        <w:outlineLvl w:val="9"/>
        <w:rPr>
          <w:rFonts w:hint="eastAsia" w:ascii="仿宋" w:hAnsi="仿宋" w:eastAsia="仿宋"/>
          <w:b/>
          <w:bCs/>
          <w:color w:val="auto"/>
          <w:sz w:val="28"/>
          <w:szCs w:val="28"/>
        </w:rPr>
      </w:pPr>
      <w:r>
        <w:rPr>
          <w:rFonts w:hint="eastAsia" w:ascii="仿宋" w:hAnsi="仿宋" w:eastAsia="仿宋"/>
          <w:b/>
          <w:bCs/>
          <w:color w:val="auto"/>
          <w:sz w:val="28"/>
          <w:szCs w:val="28"/>
        </w:rPr>
        <w:t>2.具体目标</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（1）完成全区的道路清扫保洁作业，保障全区道路 清扫保洁工作落到实处，保证辖区道路干净整洁，保持城区环境不断优化。</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eastAsia="仿宋"/>
          <w:lang w:eastAsia="zh-CN"/>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w:t>
      </w:r>
      <w:r>
        <w:rPr>
          <w:rFonts w:hint="eastAsia" w:ascii="仿宋" w:hAnsi="仿宋" w:eastAsia="仿宋" w:cs="宋体"/>
          <w:sz w:val="28"/>
          <w:szCs w:val="28"/>
          <w:lang w:eastAsia="zh-CN"/>
        </w:rPr>
        <w:t>）以服务和保障民生为出发点，全面实施环境卫生行动，促进我市市容环境卫生质量稳步提高。</w:t>
      </w:r>
    </w:p>
    <w:p>
      <w:pPr>
        <w:spacing w:line="520" w:lineRule="exact"/>
        <w:ind w:firstLine="560" w:firstLineChars="200"/>
        <w:outlineLvl w:val="0"/>
        <w:rPr>
          <w:rFonts w:hint="eastAsia" w:ascii="黑体" w:hAnsi="黑体" w:eastAsia="黑体" w:cs="黑体"/>
          <w:color w:val="auto"/>
          <w:sz w:val="28"/>
          <w:szCs w:val="28"/>
        </w:rPr>
      </w:pPr>
      <w:bookmarkStart w:id="30" w:name="_Toc21347"/>
      <w:bookmarkStart w:id="31" w:name="_Toc7988"/>
      <w:bookmarkStart w:id="32" w:name="_Toc23110"/>
      <w:bookmarkStart w:id="33" w:name="_Toc14935"/>
      <w:bookmarkStart w:id="34" w:name="_Toc22211_WPSOffice_Level2"/>
      <w:bookmarkStart w:id="35" w:name="_Toc21425_WPSOffice_Level2"/>
      <w:bookmarkStart w:id="36" w:name="_Toc8942"/>
      <w:bookmarkStart w:id="37" w:name="_Toc108549524"/>
      <w:r>
        <w:rPr>
          <w:rFonts w:hint="eastAsia" w:ascii="黑体" w:hAnsi="黑体" w:eastAsia="黑体" w:cs="黑体"/>
          <w:color w:val="auto"/>
          <w:sz w:val="28"/>
          <w:szCs w:val="28"/>
        </w:rPr>
        <w:t>二、绩效评价工作情况</w:t>
      </w:r>
      <w:bookmarkEnd w:id="30"/>
      <w:bookmarkEnd w:id="31"/>
      <w:bookmarkEnd w:id="32"/>
      <w:bookmarkEnd w:id="33"/>
    </w:p>
    <w:p>
      <w:pPr>
        <w:spacing w:line="520" w:lineRule="exact"/>
        <w:ind w:firstLine="560" w:firstLineChars="200"/>
        <w:outlineLvl w:val="1"/>
        <w:rPr>
          <w:rFonts w:hint="eastAsia" w:ascii="宋体" w:hAnsi="宋体" w:cs="宋体"/>
          <w:b/>
          <w:bCs/>
          <w:sz w:val="24"/>
          <w:szCs w:val="24"/>
        </w:rPr>
      </w:pPr>
      <w:bookmarkStart w:id="38" w:name="_Toc26095"/>
      <w:r>
        <w:rPr>
          <w:rFonts w:hint="eastAsia" w:ascii="楷体" w:hAnsi="楷体" w:eastAsia="楷体" w:cs="楷体"/>
          <w:snapToGrid/>
          <w:sz w:val="28"/>
          <w:szCs w:val="28"/>
        </w:rPr>
        <w:t>（一）</w:t>
      </w:r>
      <w:bookmarkEnd w:id="34"/>
      <w:bookmarkEnd w:id="35"/>
      <w:bookmarkEnd w:id="36"/>
      <w:r>
        <w:rPr>
          <w:rFonts w:hint="eastAsia" w:ascii="楷体" w:hAnsi="楷体" w:eastAsia="楷体" w:cs="楷体"/>
          <w:snapToGrid/>
          <w:sz w:val="28"/>
          <w:szCs w:val="28"/>
        </w:rPr>
        <w:t>绩效评价的目的、对象和范围</w:t>
      </w:r>
      <w:bookmarkEnd w:id="37"/>
      <w:bookmarkEnd w:id="38"/>
    </w:p>
    <w:p>
      <w:pPr>
        <w:spacing w:line="520" w:lineRule="exact"/>
        <w:ind w:firstLine="562" w:firstLineChars="200"/>
        <w:outlineLvl w:val="9"/>
        <w:rPr>
          <w:rFonts w:hint="eastAsia" w:ascii="仿宋" w:hAnsi="仿宋" w:eastAsia="仿宋"/>
          <w:b/>
          <w:bCs/>
          <w:snapToGrid/>
          <w:sz w:val="28"/>
          <w:szCs w:val="28"/>
        </w:rPr>
      </w:pPr>
      <w:r>
        <w:rPr>
          <w:rFonts w:hint="eastAsia" w:ascii="仿宋" w:hAnsi="仿宋" w:eastAsia="仿宋"/>
          <w:b/>
          <w:bCs/>
          <w:snapToGrid/>
          <w:sz w:val="28"/>
          <w:szCs w:val="28"/>
        </w:rPr>
        <w:t>1.绩效评价的目的</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通过运用规范的绩效评价指标体系和科学的绩效评价方法，全面、客观地评价2023年度</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rPr>
        <w:t>道路清扫经费</w:t>
      </w:r>
      <w:r>
        <w:rPr>
          <w:rFonts w:hint="eastAsia" w:ascii="仿宋" w:hAnsi="仿宋" w:eastAsia="仿宋" w:cs="宋体"/>
          <w:sz w:val="28"/>
          <w:szCs w:val="28"/>
          <w:lang w:eastAsia="zh-CN"/>
        </w:rPr>
        <w:t>项目支出</w:t>
      </w:r>
      <w:r>
        <w:rPr>
          <w:rFonts w:hint="eastAsia" w:ascii="仿宋" w:hAnsi="仿宋" w:eastAsia="仿宋" w:cs="宋体"/>
          <w:sz w:val="28"/>
          <w:szCs w:val="28"/>
        </w:rPr>
        <w:t>安排的科学性、合理性、规范性和资金使用成效。同时，及时总结经验，发现不足，分析存在的问题，并有针对性地提出合理的工作建议，进一步规范该经费项目管理，促使项目发挥更大的社会、生态和经济效益，带动项目区域经济社会健康持续快速发展，为以后年度同类项目预算编制、优化财政支出结构提供决策参考和依据。</w:t>
      </w:r>
    </w:p>
    <w:p>
      <w:pPr>
        <w:spacing w:line="520" w:lineRule="exact"/>
        <w:ind w:firstLine="562" w:firstLineChars="200"/>
        <w:outlineLvl w:val="9"/>
        <w:rPr>
          <w:rFonts w:hint="eastAsia" w:ascii="仿宋" w:hAnsi="仿宋" w:eastAsia="仿宋"/>
          <w:b/>
          <w:bCs/>
          <w:snapToGrid/>
          <w:sz w:val="28"/>
          <w:szCs w:val="28"/>
        </w:rPr>
      </w:pPr>
      <w:r>
        <w:rPr>
          <w:rFonts w:hint="eastAsia" w:ascii="仿宋" w:hAnsi="仿宋" w:eastAsia="仿宋"/>
          <w:b/>
          <w:bCs/>
          <w:snapToGrid/>
          <w:sz w:val="28"/>
          <w:szCs w:val="28"/>
        </w:rPr>
        <w:t>2.绩效评价的对象和范围</w:t>
      </w:r>
    </w:p>
    <w:p>
      <w:pPr>
        <w:widowControl w:val="0"/>
        <w:spacing w:line="520" w:lineRule="exact"/>
        <w:ind w:firstLine="560" w:firstLineChars="200"/>
        <w:rPr>
          <w:rFonts w:hint="eastAsia" w:ascii="仿宋" w:hAnsi="仿宋" w:eastAsia="仿宋" w:cs="宋体"/>
          <w:sz w:val="28"/>
          <w:szCs w:val="28"/>
        </w:rPr>
      </w:pPr>
      <w:r>
        <w:rPr>
          <w:rFonts w:ascii="仿宋" w:hAnsi="仿宋" w:eastAsia="仿宋" w:cs="宋体"/>
          <w:sz w:val="28"/>
          <w:szCs w:val="28"/>
        </w:rPr>
        <w:t>本次绩效评价对象为</w:t>
      </w:r>
      <w:r>
        <w:rPr>
          <w:rFonts w:hint="eastAsia" w:ascii="仿宋" w:hAnsi="仿宋" w:eastAsia="仿宋" w:cs="宋体"/>
          <w:sz w:val="28"/>
          <w:szCs w:val="28"/>
          <w:lang w:val="en-US" w:eastAsia="zh-CN"/>
        </w:rPr>
        <w:t>福州市仓山区环境卫生中心</w:t>
      </w:r>
      <w:r>
        <w:rPr>
          <w:rFonts w:ascii="仿宋" w:hAnsi="仿宋" w:eastAsia="仿宋" w:cs="宋体"/>
          <w:sz w:val="28"/>
          <w:szCs w:val="28"/>
        </w:rPr>
        <w:t>202</w:t>
      </w:r>
      <w:r>
        <w:rPr>
          <w:rFonts w:hint="eastAsia" w:ascii="仿宋" w:hAnsi="仿宋" w:eastAsia="仿宋" w:cs="宋体"/>
          <w:sz w:val="28"/>
          <w:szCs w:val="28"/>
        </w:rPr>
        <w:t>3</w:t>
      </w:r>
      <w:r>
        <w:rPr>
          <w:rFonts w:ascii="仿宋" w:hAnsi="仿宋" w:eastAsia="仿宋" w:cs="宋体"/>
          <w:sz w:val="28"/>
          <w:szCs w:val="28"/>
        </w:rPr>
        <w:t>年度</w:t>
      </w:r>
      <w:r>
        <w:rPr>
          <w:rFonts w:hint="eastAsia" w:ascii="仿宋" w:hAnsi="仿宋" w:eastAsia="仿宋" w:cs="宋体"/>
          <w:sz w:val="28"/>
          <w:szCs w:val="28"/>
          <w:lang w:eastAsia="zh-CN"/>
        </w:rPr>
        <w:t>道路清扫经费资金项目支出</w:t>
      </w:r>
      <w:r>
        <w:rPr>
          <w:rFonts w:ascii="仿宋" w:hAnsi="仿宋" w:eastAsia="仿宋" w:cs="宋体"/>
          <w:sz w:val="28"/>
          <w:szCs w:val="28"/>
        </w:rPr>
        <w:t>，该项目预算资金为</w:t>
      </w:r>
      <w:r>
        <w:rPr>
          <w:rFonts w:hint="eastAsia" w:ascii="仿宋" w:hAnsi="仿宋" w:eastAsia="仿宋" w:cs="宋体"/>
          <w:sz w:val="28"/>
          <w:szCs w:val="28"/>
          <w:lang w:val="en-US" w:eastAsia="zh-CN"/>
        </w:rPr>
        <w:t>1924.00</w:t>
      </w:r>
      <w:r>
        <w:rPr>
          <w:rFonts w:ascii="仿宋" w:hAnsi="仿宋" w:eastAsia="仿宋" w:cs="宋体"/>
          <w:sz w:val="28"/>
          <w:szCs w:val="28"/>
        </w:rPr>
        <w:t>万元</w:t>
      </w:r>
      <w:bookmarkStart w:id="39" w:name="_Toc108549525"/>
      <w:bookmarkStart w:id="40" w:name="_Toc10184"/>
      <w:r>
        <w:rPr>
          <w:rFonts w:hint="eastAsia" w:ascii="仿宋" w:hAnsi="仿宋" w:eastAsia="仿宋" w:cs="宋体"/>
          <w:sz w:val="28"/>
          <w:szCs w:val="28"/>
        </w:rPr>
        <w:t>。评价基准日为20</w:t>
      </w:r>
      <w:r>
        <w:rPr>
          <w:rFonts w:hint="eastAsia" w:ascii="仿宋" w:hAnsi="仿宋" w:eastAsia="仿宋" w:cs="宋体"/>
          <w:sz w:val="28"/>
          <w:szCs w:val="28"/>
          <w:lang w:val="en-US" w:eastAsia="zh-CN"/>
        </w:rPr>
        <w:t>23</w:t>
      </w:r>
      <w:r>
        <w:rPr>
          <w:rFonts w:hint="eastAsia" w:ascii="仿宋" w:hAnsi="仿宋" w:eastAsia="仿宋" w:cs="宋体"/>
          <w:sz w:val="28"/>
          <w:szCs w:val="28"/>
        </w:rPr>
        <w:t>年</w:t>
      </w:r>
      <w:r>
        <w:rPr>
          <w:rFonts w:hint="eastAsia" w:ascii="仿宋" w:hAnsi="仿宋" w:eastAsia="仿宋" w:cs="宋体"/>
          <w:sz w:val="28"/>
          <w:szCs w:val="28"/>
          <w:lang w:val="en-US" w:eastAsia="zh-CN"/>
        </w:rPr>
        <w:t>12</w:t>
      </w:r>
      <w:r>
        <w:rPr>
          <w:rFonts w:hint="eastAsia" w:ascii="仿宋" w:hAnsi="仿宋" w:eastAsia="仿宋" w:cs="宋体"/>
          <w:sz w:val="28"/>
          <w:szCs w:val="28"/>
        </w:rPr>
        <w:t>月3</w:t>
      </w:r>
      <w:r>
        <w:rPr>
          <w:rFonts w:hint="eastAsia" w:ascii="仿宋" w:hAnsi="仿宋" w:eastAsia="仿宋" w:cs="宋体"/>
          <w:sz w:val="28"/>
          <w:szCs w:val="28"/>
          <w:lang w:val="en-US" w:eastAsia="zh-CN"/>
        </w:rPr>
        <w:t>1</w:t>
      </w:r>
      <w:r>
        <w:rPr>
          <w:rFonts w:hint="eastAsia" w:ascii="仿宋" w:hAnsi="仿宋" w:eastAsia="仿宋" w:cs="宋体"/>
          <w:sz w:val="28"/>
          <w:szCs w:val="28"/>
        </w:rPr>
        <w:t>日。</w:t>
      </w:r>
    </w:p>
    <w:p>
      <w:pPr>
        <w:widowControl w:val="0"/>
        <w:spacing w:line="520" w:lineRule="exact"/>
        <w:ind w:firstLine="560" w:firstLineChars="200"/>
        <w:rPr>
          <w:rFonts w:hint="default" w:ascii="仿宋" w:hAnsi="仿宋" w:eastAsia="仿宋" w:cs="宋体"/>
          <w:b/>
          <w:bCs/>
          <w:lang w:val="en-US" w:eastAsia="zh-CN"/>
        </w:rPr>
      </w:pPr>
      <w:r>
        <w:rPr>
          <w:rFonts w:ascii="仿宋" w:hAnsi="仿宋" w:eastAsia="仿宋" w:cs="宋体"/>
          <w:sz w:val="28"/>
          <w:szCs w:val="28"/>
        </w:rPr>
        <w:t>本项目涉及</w:t>
      </w:r>
      <w:r>
        <w:rPr>
          <w:rFonts w:hint="eastAsia" w:ascii="仿宋" w:hAnsi="仿宋" w:eastAsia="仿宋" w:cs="宋体"/>
          <w:sz w:val="28"/>
          <w:szCs w:val="28"/>
          <w:lang w:val="en-US" w:eastAsia="zh-CN"/>
        </w:rPr>
        <w:t>4个项目支出，具体</w:t>
      </w:r>
      <w:r>
        <w:rPr>
          <w:rFonts w:hint="eastAsia" w:ascii="仿宋" w:hAnsi="仿宋" w:eastAsia="仿宋"/>
          <w:sz w:val="28"/>
          <w:szCs w:val="28"/>
          <w:lang w:val="en-US" w:eastAsia="zh-CN"/>
        </w:rPr>
        <w:t>包括劳务费、委托业务费、水费、其他交通费用。</w:t>
      </w:r>
    </w:p>
    <w:p>
      <w:pPr>
        <w:pStyle w:val="32"/>
        <w:spacing w:beforeAutospacing="0" w:afterAutospacing="0" w:line="520" w:lineRule="atLeast"/>
        <w:ind w:firstLine="560" w:firstLineChars="200"/>
        <w:jc w:val="both"/>
        <w:outlineLvl w:val="1"/>
        <w:rPr>
          <w:rFonts w:hint="eastAsia" w:ascii="楷体" w:hAnsi="楷体" w:eastAsia="楷体" w:cs="楷体"/>
          <w:snapToGrid/>
          <w:sz w:val="28"/>
          <w:szCs w:val="28"/>
        </w:rPr>
      </w:pPr>
      <w:bookmarkStart w:id="41" w:name="_Toc16892"/>
      <w:r>
        <w:rPr>
          <w:rFonts w:hint="eastAsia" w:ascii="楷体" w:hAnsi="楷体" w:eastAsia="楷体" w:cs="楷体"/>
          <w:snapToGrid/>
          <w:sz w:val="28"/>
          <w:szCs w:val="28"/>
        </w:rPr>
        <w:t>（二）评价依据</w:t>
      </w:r>
      <w:bookmarkEnd w:id="41"/>
    </w:p>
    <w:p>
      <w:pPr>
        <w:spacing w:line="520" w:lineRule="atLeast"/>
        <w:ind w:firstLine="560" w:firstLineChars="200"/>
        <w:rPr>
          <w:rFonts w:hint="eastAsia" w:ascii="仿宋" w:hAnsi="仿宋" w:eastAsia="仿宋"/>
          <w:sz w:val="28"/>
          <w:szCs w:val="28"/>
        </w:rPr>
      </w:pPr>
      <w:r>
        <w:rPr>
          <w:rFonts w:hint="eastAsia" w:ascii="仿宋" w:hAnsi="仿宋" w:eastAsia="仿宋" w:cs="宋体"/>
          <w:sz w:val="28"/>
          <w:szCs w:val="28"/>
        </w:rPr>
        <w:t>（1）《中华人民共和国预算法》；</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（2）财政部《项目支出绩效评价管理办法》（财预〔2020〕10号）；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（3）财政部关于印发《预算绩效评价共性指标体系框架的通知》（财预〔2013〕53号）；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（4）《中共中央国务院关于全面实施预算绩效管理的意见》（中发〔2018〕34号）；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（5）《</w:t>
      </w:r>
      <w:r>
        <w:rPr>
          <w:rFonts w:ascii="仿宋" w:hAnsi="仿宋" w:eastAsia="仿宋" w:cs="宋体"/>
          <w:sz w:val="28"/>
          <w:szCs w:val="28"/>
        </w:rPr>
        <w:t>中共中央国务院关于做好2023年全面推进乡村振兴重点工作的意见</w:t>
      </w:r>
      <w:r>
        <w:rPr>
          <w:rFonts w:hint="eastAsia" w:ascii="仿宋" w:hAnsi="仿宋" w:eastAsia="仿宋" w:cs="宋体"/>
          <w:sz w:val="28"/>
          <w:szCs w:val="28"/>
        </w:rPr>
        <w:t>》</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（6）福建省委、省政府《关于全面实施预算绩效管理的实施意见》（闽委发〔2019〕5号）；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（7）福建省财政厅《关于印发〈福建省财政支出绩效评价管理办法〉的通知》（闽财绩〔2015〕4号）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（8）</w:t>
      </w:r>
      <w:r>
        <w:rPr>
          <w:rFonts w:hint="eastAsia" w:ascii="仿宋" w:hAnsi="仿宋" w:eastAsia="仿宋" w:cs="宋体"/>
          <w:sz w:val="28"/>
          <w:szCs w:val="28"/>
          <w:lang w:eastAsia="zh-CN"/>
        </w:rPr>
        <w:t>《</w:t>
      </w:r>
      <w:r>
        <w:rPr>
          <w:rFonts w:hint="eastAsia" w:ascii="仿宋" w:hAnsi="仿宋" w:eastAsia="仿宋" w:cs="宋体"/>
          <w:sz w:val="28"/>
          <w:szCs w:val="28"/>
        </w:rPr>
        <w:t>福州市人民政府办公厅关于转发福州市道路清扫保洁经费提升方案、市场化运作招标导则(试行)和质量标准与检查考核导则(试行)的通知</w:t>
      </w:r>
      <w:r>
        <w:rPr>
          <w:rFonts w:hint="eastAsia" w:ascii="仿宋" w:hAnsi="仿宋" w:eastAsia="仿宋" w:cs="宋体"/>
          <w:sz w:val="28"/>
          <w:szCs w:val="28"/>
          <w:lang w:eastAsia="zh-CN"/>
        </w:rPr>
        <w:t>》（榕政办〔2016〕248号）</w:t>
      </w:r>
    </w:p>
    <w:p>
      <w:pPr>
        <w:spacing w:line="520" w:lineRule="exact"/>
        <w:ind w:firstLine="560" w:firstLineChars="200"/>
        <w:rPr>
          <w:rFonts w:hint="default" w:ascii="仿宋" w:hAnsi="仿宋" w:eastAsia="仿宋" w:cs="宋体"/>
          <w:sz w:val="28"/>
          <w:szCs w:val="28"/>
          <w:lang w:val="en-US" w:eastAsia="zh-CN"/>
        </w:rPr>
      </w:pPr>
      <w:r>
        <w:rPr>
          <w:rFonts w:hint="eastAsia" w:ascii="仿宋" w:hAnsi="仿宋" w:eastAsia="仿宋" w:cs="宋体"/>
          <w:sz w:val="28"/>
          <w:szCs w:val="28"/>
        </w:rPr>
        <w:t>（9）</w:t>
      </w:r>
      <w:r>
        <w:rPr>
          <w:rFonts w:hint="eastAsia" w:ascii="仿宋" w:hAnsi="仿宋" w:eastAsia="仿宋" w:cs="宋体"/>
          <w:sz w:val="28"/>
          <w:szCs w:val="28"/>
          <w:lang w:eastAsia="zh-CN"/>
        </w:rPr>
        <w:t>《福州市城市管理委员会关于道路清扫保洁招标代理抽选库更正的通知》（榕城管委函〔2018〕186号）</w:t>
      </w:r>
    </w:p>
    <w:p>
      <w:pPr>
        <w:spacing w:line="520" w:lineRule="exact"/>
        <w:ind w:firstLine="560" w:firstLineChars="200"/>
        <w:rPr>
          <w:rFonts w:hint="eastAsia" w:ascii="仿宋" w:hAnsi="仿宋" w:eastAsia="仿宋" w:cs="宋体"/>
          <w:sz w:val="28"/>
          <w:szCs w:val="28"/>
          <w:lang w:eastAsia="zh-CN"/>
        </w:rPr>
      </w:pPr>
      <w:r>
        <w:rPr>
          <w:rFonts w:hint="eastAsia" w:ascii="仿宋" w:hAnsi="仿宋" w:eastAsia="仿宋" w:cs="宋体"/>
          <w:sz w:val="28"/>
          <w:szCs w:val="28"/>
        </w:rPr>
        <w:t>（10）福州市仓山区人民政府办公室</w:t>
      </w:r>
      <w:r>
        <w:rPr>
          <w:rFonts w:hint="eastAsia" w:ascii="仿宋" w:hAnsi="仿宋" w:eastAsia="仿宋" w:cs="宋体"/>
          <w:sz w:val="28"/>
          <w:szCs w:val="28"/>
          <w:lang w:eastAsia="zh-CN"/>
        </w:rPr>
        <w:t>《关于变更“三位一体”环卫作业服务市场化经费拨付模式的通知》（仓政办〔2017〕100号）</w:t>
      </w:r>
    </w:p>
    <w:p>
      <w:pPr>
        <w:pStyle w:val="8"/>
        <w:adjustRightInd w:val="0"/>
        <w:spacing w:line="520" w:lineRule="exact"/>
        <w:ind w:left="0" w:leftChars="0" w:firstLine="560" w:firstLineChars="200"/>
        <w:outlineLvl w:val="9"/>
        <w:rPr>
          <w:rFonts w:hint="eastAsia" w:ascii="仿宋" w:hAnsi="仿宋" w:eastAsia="仿宋" w:cs="宋体"/>
          <w:snapToGrid w:val="0"/>
          <w:color w:val="000000"/>
          <w:kern w:val="0"/>
          <w:sz w:val="28"/>
          <w:szCs w:val="28"/>
          <w:lang w:val="en-US" w:eastAsia="zh-CN" w:bidi="ar-SA"/>
        </w:rPr>
      </w:pPr>
      <w:r>
        <w:rPr>
          <w:rFonts w:hint="eastAsia" w:ascii="仿宋" w:hAnsi="仿宋" w:eastAsia="仿宋" w:cs="宋体"/>
          <w:snapToGrid w:val="0"/>
          <w:color w:val="000000"/>
          <w:kern w:val="0"/>
          <w:sz w:val="28"/>
          <w:szCs w:val="28"/>
          <w:lang w:val="en-US" w:eastAsia="zh-CN" w:bidi="ar-SA"/>
        </w:rPr>
        <w:t>（11）仓山区人民政府办公室关于印发《仓山区环境卫生管理工作制度》的通知（仓政办〔2017〕214号）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（12）福州市仓山区城市管理局</w:t>
      </w:r>
      <w:r>
        <w:rPr>
          <w:rFonts w:hint="eastAsia" w:ascii="仿宋" w:hAnsi="仿宋" w:eastAsia="仿宋" w:cs="宋体"/>
          <w:sz w:val="28"/>
          <w:szCs w:val="28"/>
          <w:lang w:eastAsia="zh-CN"/>
        </w:rPr>
        <w:t>《关于进一步明确环卫督查工作职责的通知》（仓城管综〔2018〕235号）</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w:t>
      </w:r>
      <w:r>
        <w:rPr>
          <w:rFonts w:hint="eastAsia" w:ascii="仿宋" w:hAnsi="仿宋" w:eastAsia="仿宋" w:cs="宋体"/>
          <w:sz w:val="28"/>
          <w:szCs w:val="28"/>
          <w:lang w:val="en-US" w:eastAsia="zh-CN"/>
        </w:rPr>
        <w:t>3</w:t>
      </w:r>
      <w:r>
        <w:rPr>
          <w:rFonts w:hint="eastAsia" w:ascii="仿宋" w:hAnsi="仿宋" w:eastAsia="仿宋" w:cs="宋体"/>
          <w:sz w:val="28"/>
          <w:szCs w:val="28"/>
        </w:rPr>
        <w:t>）反映本项目资金投入、拨付、监管、使用成效的相关资料。</w:t>
      </w:r>
    </w:p>
    <w:bookmarkEnd w:id="39"/>
    <w:bookmarkEnd w:id="40"/>
    <w:p>
      <w:pPr>
        <w:spacing w:line="520" w:lineRule="exact"/>
        <w:ind w:firstLine="560" w:firstLineChars="200"/>
        <w:outlineLvl w:val="1"/>
        <w:rPr>
          <w:rFonts w:hint="eastAsia" w:ascii="楷体" w:hAnsi="楷体" w:eastAsia="楷体" w:cs="楷体"/>
          <w:sz w:val="28"/>
          <w:szCs w:val="28"/>
        </w:rPr>
      </w:pPr>
      <w:bookmarkStart w:id="42" w:name="_Toc23875"/>
      <w:bookmarkStart w:id="43" w:name="_Toc20659"/>
      <w:bookmarkStart w:id="44" w:name="_Toc11531"/>
      <w:bookmarkStart w:id="45" w:name="_Toc20583"/>
      <w:r>
        <w:rPr>
          <w:rFonts w:hint="eastAsia" w:ascii="楷体" w:hAnsi="楷体" w:eastAsia="楷体" w:cs="楷体"/>
          <w:color w:val="auto"/>
          <w:sz w:val="28"/>
          <w:szCs w:val="28"/>
        </w:rPr>
        <w:t>（</w:t>
      </w:r>
      <w:r>
        <w:rPr>
          <w:rFonts w:hint="eastAsia" w:ascii="楷体" w:hAnsi="楷体" w:eastAsia="楷体" w:cs="楷体"/>
          <w:sz w:val="28"/>
          <w:szCs w:val="28"/>
        </w:rPr>
        <w:t>三</w:t>
      </w:r>
      <w:r>
        <w:rPr>
          <w:rFonts w:hint="eastAsia" w:ascii="楷体" w:hAnsi="楷体" w:eastAsia="楷体" w:cs="楷体"/>
          <w:color w:val="auto"/>
          <w:sz w:val="28"/>
          <w:szCs w:val="28"/>
        </w:rPr>
        <w:t>）绩效评价工作方案制定过程</w:t>
      </w:r>
      <w:bookmarkEnd w:id="42"/>
      <w:bookmarkEnd w:id="43"/>
      <w:bookmarkEnd w:id="44"/>
      <w:bookmarkEnd w:id="45"/>
    </w:p>
    <w:p>
      <w:pPr>
        <w:spacing w:line="520" w:lineRule="exact"/>
        <w:ind w:firstLine="562" w:firstLineChars="200"/>
        <w:outlineLvl w:val="9"/>
        <w:rPr>
          <w:rFonts w:hint="eastAsia" w:ascii="仿宋" w:hAnsi="仿宋" w:eastAsia="仿宋"/>
          <w:color w:val="auto"/>
          <w:sz w:val="28"/>
          <w:szCs w:val="28"/>
        </w:rPr>
      </w:pPr>
      <w:bookmarkStart w:id="46" w:name="_Toc4649"/>
      <w:bookmarkStart w:id="47" w:name="_Toc16525"/>
      <w:bookmarkStart w:id="48" w:name="_Toc13368"/>
      <w:r>
        <w:rPr>
          <w:rFonts w:hint="eastAsia" w:ascii="仿宋" w:hAnsi="仿宋" w:eastAsia="仿宋"/>
          <w:b/>
          <w:bCs/>
          <w:color w:val="auto"/>
          <w:sz w:val="28"/>
          <w:szCs w:val="28"/>
        </w:rPr>
        <w:t>1.前期</w:t>
      </w:r>
      <w:bookmarkEnd w:id="46"/>
      <w:bookmarkEnd w:id="47"/>
      <w:bookmarkEnd w:id="48"/>
      <w:r>
        <w:rPr>
          <w:rFonts w:hint="eastAsia" w:ascii="仿宋" w:hAnsi="仿宋" w:eastAsia="仿宋"/>
          <w:b/>
          <w:bCs/>
          <w:sz w:val="28"/>
          <w:szCs w:val="28"/>
        </w:rPr>
        <w:t>准备</w:t>
      </w:r>
    </w:p>
    <w:p>
      <w:pPr>
        <w:spacing w:line="520" w:lineRule="exact"/>
        <w:ind w:firstLine="560" w:firstLineChars="200"/>
        <w:rPr>
          <w:rFonts w:hint="eastAsia" w:ascii="仿宋" w:hAnsi="仿宋" w:eastAsia="仿宋" w:cs="宋体"/>
          <w:kern w:val="2"/>
          <w:sz w:val="28"/>
          <w:szCs w:val="28"/>
        </w:rPr>
      </w:pPr>
      <w:r>
        <w:rPr>
          <w:rFonts w:hint="eastAsia" w:ascii="仿宋" w:hAnsi="仿宋" w:eastAsia="仿宋" w:cs="宋体"/>
          <w:kern w:val="2"/>
          <w:sz w:val="28"/>
          <w:szCs w:val="28"/>
        </w:rPr>
        <w:t>为确保评价工作取得实效，福建金财恒效咨询有限公司成立了“</w:t>
      </w:r>
      <w:r>
        <w:rPr>
          <w:rFonts w:hint="eastAsia" w:ascii="仿宋" w:hAnsi="仿宋" w:eastAsia="仿宋" w:cs="宋体"/>
          <w:sz w:val="28"/>
          <w:szCs w:val="28"/>
          <w:lang w:eastAsia="zh-CN"/>
        </w:rPr>
        <w:t>2023年度福州市仓山区环境卫生中心道路清扫经费项目</w:t>
      </w:r>
      <w:r>
        <w:rPr>
          <w:rFonts w:hint="eastAsia" w:ascii="仿宋" w:hAnsi="仿宋" w:eastAsia="仿宋" w:cs="宋体"/>
          <w:kern w:val="2"/>
          <w:sz w:val="28"/>
          <w:szCs w:val="28"/>
        </w:rPr>
        <w:t>绩效评价小组”，负责整个绩效评价工作的监督指导和组织实施。绩效评价小组</w:t>
      </w:r>
      <w:r>
        <w:rPr>
          <w:rFonts w:hint="eastAsia" w:ascii="仿宋" w:hAnsi="仿宋" w:eastAsia="仿宋" w:cs="宋体"/>
          <w:sz w:val="28"/>
          <w:szCs w:val="28"/>
        </w:rPr>
        <w:t>就</w:t>
      </w:r>
      <w:r>
        <w:rPr>
          <w:rFonts w:hint="eastAsia" w:ascii="仿宋" w:hAnsi="仿宋" w:eastAsia="仿宋" w:cs="宋体"/>
          <w:sz w:val="28"/>
          <w:szCs w:val="28"/>
          <w:lang w:eastAsia="zh-CN"/>
        </w:rPr>
        <w:t>2023年度福州市仓山区环境卫生中心道路清扫经费项目支出</w:t>
      </w:r>
      <w:r>
        <w:rPr>
          <w:rFonts w:hint="eastAsia" w:ascii="仿宋" w:hAnsi="仿宋" w:eastAsia="仿宋" w:cs="宋体"/>
          <w:sz w:val="28"/>
          <w:szCs w:val="28"/>
        </w:rPr>
        <w:t>进行梳理，分析绩效评价的目的，明确绩效评价的内容，确定评价的关注点和评价方式。按照目的性、相关性、可操作性、定量及定性相结合原则，根据绩效评价关注点、评价需要和项目实际，从决策、过程、产出、效益四个方面构建了本次项目绩效评价的指标体系。</w:t>
      </w:r>
      <w:r>
        <w:rPr>
          <w:rFonts w:hint="eastAsia" w:ascii="仿宋" w:hAnsi="仿宋" w:eastAsia="仿宋" w:cs="宋体"/>
          <w:kern w:val="2"/>
          <w:sz w:val="28"/>
          <w:szCs w:val="28"/>
        </w:rPr>
        <w:t>评价小组在遵循客观性、合理性、逻辑性、明确性等原则的基础上，合理选择问卷发放的范围，并针对项目情况设计调查问卷。根据项目的实际情况，分析项目并明确访谈对象、访谈方式和访谈内容，根据评价需要，针对项目设计访谈提纲。</w:t>
      </w:r>
    </w:p>
    <w:p>
      <w:pPr>
        <w:pStyle w:val="32"/>
        <w:spacing w:beforeAutospacing="0" w:afterAutospacing="0" w:line="520" w:lineRule="exact"/>
        <w:ind w:firstLine="562" w:firstLineChars="200"/>
        <w:jc w:val="both"/>
        <w:outlineLvl w:val="9"/>
        <w:rPr>
          <w:rFonts w:hint="eastAsia" w:ascii="仿宋" w:hAnsi="仿宋" w:eastAsia="仿宋"/>
          <w:b/>
          <w:bCs/>
          <w:kern w:val="2"/>
          <w:sz w:val="28"/>
          <w:szCs w:val="28"/>
        </w:rPr>
      </w:pPr>
      <w:bookmarkStart w:id="49" w:name="_Toc108447686"/>
    </w:p>
    <w:p>
      <w:pPr>
        <w:pStyle w:val="32"/>
        <w:spacing w:beforeAutospacing="0" w:afterAutospacing="0" w:line="520" w:lineRule="exact"/>
        <w:ind w:firstLine="562" w:firstLineChars="200"/>
        <w:jc w:val="both"/>
        <w:outlineLvl w:val="9"/>
        <w:rPr>
          <w:rFonts w:hint="eastAsia" w:ascii="仿宋" w:hAnsi="仿宋" w:eastAsia="仿宋"/>
          <w:b/>
          <w:bCs/>
          <w:kern w:val="2"/>
          <w:sz w:val="28"/>
          <w:szCs w:val="28"/>
        </w:rPr>
      </w:pPr>
    </w:p>
    <w:p>
      <w:pPr>
        <w:pStyle w:val="32"/>
        <w:spacing w:beforeAutospacing="0" w:afterAutospacing="0" w:line="520" w:lineRule="exact"/>
        <w:ind w:firstLine="562" w:firstLineChars="200"/>
        <w:jc w:val="both"/>
        <w:outlineLvl w:val="9"/>
        <w:rPr>
          <w:rFonts w:hint="eastAsia" w:ascii="仿宋" w:hAnsi="仿宋" w:eastAsia="仿宋"/>
          <w:b/>
          <w:bCs/>
          <w:kern w:val="2"/>
          <w:sz w:val="28"/>
          <w:szCs w:val="28"/>
        </w:rPr>
      </w:pPr>
      <w:r>
        <w:rPr>
          <w:rFonts w:hint="eastAsia" w:ascii="仿宋" w:hAnsi="仿宋" w:eastAsia="仿宋"/>
          <w:b/>
          <w:bCs/>
          <w:kern w:val="2"/>
          <w:sz w:val="28"/>
          <w:szCs w:val="28"/>
        </w:rPr>
        <w:t>2.制定方案</w:t>
      </w:r>
      <w:bookmarkEnd w:id="49"/>
    </w:p>
    <w:p>
      <w:pPr>
        <w:spacing w:line="520" w:lineRule="exact"/>
        <w:ind w:firstLine="560" w:firstLineChars="200"/>
        <w:rPr>
          <w:rFonts w:hint="eastAsia" w:ascii="仿宋" w:hAnsi="仿宋" w:eastAsia="仿宋" w:cs="宋体"/>
          <w:sz w:val="28"/>
          <w:szCs w:val="28"/>
        </w:rPr>
      </w:pPr>
      <w:bookmarkStart w:id="50" w:name="_Toc108447687"/>
      <w:r>
        <w:rPr>
          <w:rFonts w:hint="eastAsia" w:ascii="仿宋" w:hAnsi="仿宋" w:eastAsia="仿宋" w:cs="宋体"/>
          <w:kern w:val="2"/>
          <w:sz w:val="28"/>
          <w:szCs w:val="28"/>
        </w:rPr>
        <w:t>根据</w:t>
      </w:r>
      <w:r>
        <w:rPr>
          <w:rFonts w:hint="eastAsia" w:ascii="仿宋" w:hAnsi="仿宋" w:eastAsia="仿宋" w:cs="宋体"/>
          <w:kern w:val="2"/>
          <w:sz w:val="28"/>
          <w:szCs w:val="28"/>
          <w:lang w:val="en-US" w:eastAsia="zh-CN"/>
        </w:rPr>
        <w:t>福州市仓山区</w:t>
      </w:r>
      <w:r>
        <w:rPr>
          <w:rFonts w:hint="eastAsia" w:ascii="仿宋" w:hAnsi="仿宋" w:eastAsia="仿宋" w:cs="宋体"/>
          <w:sz w:val="28"/>
          <w:szCs w:val="28"/>
        </w:rPr>
        <w:t>财政局关于开展</w:t>
      </w:r>
      <w:r>
        <w:rPr>
          <w:rFonts w:hint="eastAsia" w:ascii="仿宋" w:hAnsi="仿宋" w:eastAsia="仿宋" w:cs="宋体"/>
          <w:kern w:val="2"/>
          <w:sz w:val="28"/>
          <w:szCs w:val="28"/>
        </w:rPr>
        <w:t>2023年</w:t>
      </w:r>
      <w:r>
        <w:rPr>
          <w:rFonts w:hint="eastAsia" w:ascii="仿宋" w:hAnsi="仿宋" w:eastAsia="仿宋" w:cs="宋体"/>
          <w:kern w:val="2"/>
          <w:sz w:val="28"/>
          <w:szCs w:val="28"/>
          <w:lang w:eastAsia="zh-CN"/>
        </w:rPr>
        <w:t>道路清扫经费资金项目支出</w:t>
      </w:r>
      <w:r>
        <w:rPr>
          <w:rFonts w:hint="eastAsia" w:ascii="仿宋" w:hAnsi="仿宋" w:eastAsia="仿宋" w:cs="宋体"/>
          <w:sz w:val="28"/>
          <w:szCs w:val="28"/>
        </w:rPr>
        <w:t>绩效评价工作的要求，</w:t>
      </w:r>
      <w:r>
        <w:rPr>
          <w:rFonts w:hint="eastAsia" w:ascii="仿宋" w:hAnsi="仿宋" w:eastAsia="仿宋" w:cs="宋体"/>
          <w:kern w:val="2"/>
          <w:sz w:val="28"/>
          <w:szCs w:val="28"/>
        </w:rPr>
        <w:t>评价小组</w:t>
      </w:r>
      <w:r>
        <w:rPr>
          <w:rFonts w:hint="eastAsia" w:ascii="仿宋" w:hAnsi="仿宋" w:eastAsia="仿宋" w:cs="宋体"/>
          <w:sz w:val="28"/>
          <w:szCs w:val="28"/>
        </w:rPr>
        <w:t>制定了《</w:t>
      </w:r>
      <w:r>
        <w:rPr>
          <w:rFonts w:hint="eastAsia" w:ascii="仿宋" w:hAnsi="仿宋" w:eastAsia="仿宋" w:cs="宋体"/>
          <w:sz w:val="28"/>
          <w:szCs w:val="28"/>
          <w:lang w:eastAsia="zh-CN"/>
        </w:rPr>
        <w:t>福州市仓山区环境卫生中心</w:t>
      </w:r>
      <w:r>
        <w:rPr>
          <w:rFonts w:hint="eastAsia" w:ascii="仿宋" w:hAnsi="仿宋" w:eastAsia="仿宋" w:cs="宋体"/>
          <w:kern w:val="2"/>
          <w:sz w:val="28"/>
          <w:szCs w:val="28"/>
        </w:rPr>
        <w:t>2023年</w:t>
      </w:r>
      <w:r>
        <w:rPr>
          <w:rFonts w:hint="eastAsia" w:ascii="仿宋" w:hAnsi="仿宋" w:eastAsia="仿宋" w:cs="宋体"/>
          <w:kern w:val="2"/>
          <w:sz w:val="28"/>
          <w:szCs w:val="28"/>
          <w:lang w:eastAsia="zh-CN"/>
        </w:rPr>
        <w:t>道路清扫经费资金项目支出</w:t>
      </w:r>
      <w:r>
        <w:rPr>
          <w:rFonts w:hint="eastAsia" w:ascii="仿宋" w:hAnsi="仿宋" w:eastAsia="仿宋" w:cs="宋体"/>
          <w:sz w:val="28"/>
          <w:szCs w:val="28"/>
        </w:rPr>
        <w:t>绩效评价</w:t>
      </w:r>
      <w:r>
        <w:rPr>
          <w:rFonts w:hint="eastAsia" w:ascii="仿宋" w:hAnsi="仿宋" w:eastAsia="仿宋" w:cs="宋体"/>
          <w:kern w:val="2"/>
          <w:sz w:val="28"/>
          <w:szCs w:val="28"/>
        </w:rPr>
        <w:t>实施方案</w:t>
      </w:r>
      <w:r>
        <w:rPr>
          <w:rFonts w:hint="eastAsia" w:ascii="仿宋" w:hAnsi="仿宋" w:eastAsia="仿宋" w:cs="宋体"/>
          <w:sz w:val="28"/>
          <w:szCs w:val="28"/>
        </w:rPr>
        <w:t>》，方案根据绩效评价内容从资料收集、数据填报、实地调研、绩效分析、撰写报告五个方面对绩效评价工作做了详细的安排。</w:t>
      </w:r>
    </w:p>
    <w:p>
      <w:pPr>
        <w:pStyle w:val="32"/>
        <w:spacing w:beforeAutospacing="0" w:afterAutospacing="0" w:line="520" w:lineRule="exact"/>
        <w:ind w:firstLine="562" w:firstLineChars="200"/>
        <w:jc w:val="both"/>
        <w:outlineLvl w:val="9"/>
        <w:rPr>
          <w:rFonts w:hint="eastAsia" w:ascii="仿宋" w:hAnsi="仿宋" w:eastAsia="仿宋"/>
          <w:b/>
          <w:bCs/>
          <w:kern w:val="2"/>
          <w:sz w:val="28"/>
          <w:szCs w:val="28"/>
        </w:rPr>
      </w:pPr>
      <w:r>
        <w:rPr>
          <w:rFonts w:hint="eastAsia" w:ascii="仿宋" w:hAnsi="仿宋" w:eastAsia="仿宋"/>
          <w:b/>
          <w:bCs/>
          <w:kern w:val="2"/>
          <w:sz w:val="28"/>
          <w:szCs w:val="28"/>
        </w:rPr>
        <w:t>3.组织实施</w:t>
      </w:r>
      <w:bookmarkEnd w:id="50"/>
    </w:p>
    <w:p>
      <w:pPr>
        <w:spacing w:line="520" w:lineRule="exact"/>
        <w:ind w:firstLine="560" w:firstLineChars="200"/>
        <w:rPr>
          <w:rFonts w:hint="eastAsia" w:ascii="仿宋" w:hAnsi="仿宋" w:eastAsia="仿宋" w:cs="宋体"/>
          <w:sz w:val="28"/>
          <w:szCs w:val="28"/>
        </w:rPr>
      </w:pPr>
      <w:bookmarkStart w:id="51" w:name="_Toc108447688"/>
      <w:r>
        <w:rPr>
          <w:rFonts w:hint="eastAsia" w:ascii="仿宋" w:hAnsi="仿宋" w:eastAsia="仿宋" w:cs="宋体"/>
          <w:sz w:val="28"/>
          <w:szCs w:val="28"/>
        </w:rPr>
        <w:t>根据绩效评价工作程序，评价组工作人员赴</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rPr>
        <w:t>、项目实施单位查阅、核实、收集绩效评价所需文件资料，了解项目基本情况、项目实施情况和项目实施效果。</w:t>
      </w:r>
      <w:r>
        <w:rPr>
          <w:rFonts w:hint="eastAsia" w:ascii="仿宋" w:hAnsi="仿宋" w:eastAsia="仿宋" w:cs="宋体"/>
          <w:kern w:val="2"/>
          <w:sz w:val="28"/>
          <w:szCs w:val="28"/>
        </w:rPr>
        <w:t>按照</w:t>
      </w:r>
      <w:r>
        <w:rPr>
          <w:rFonts w:hint="eastAsia" w:ascii="仿宋" w:hAnsi="仿宋" w:eastAsia="仿宋" w:cs="宋体"/>
          <w:sz w:val="28"/>
          <w:szCs w:val="28"/>
        </w:rPr>
        <w:t>《</w:t>
      </w:r>
      <w:r>
        <w:rPr>
          <w:rFonts w:hint="eastAsia" w:ascii="仿宋" w:hAnsi="仿宋" w:eastAsia="仿宋" w:cs="宋体"/>
          <w:sz w:val="28"/>
          <w:szCs w:val="28"/>
          <w:lang w:val="en-US" w:eastAsia="zh-CN"/>
        </w:rPr>
        <w:t>福州市仓山区环境卫生中心</w:t>
      </w:r>
      <w:r>
        <w:rPr>
          <w:rFonts w:hint="eastAsia" w:ascii="仿宋" w:hAnsi="仿宋" w:eastAsia="仿宋" w:cs="宋体"/>
          <w:kern w:val="2"/>
          <w:sz w:val="28"/>
          <w:szCs w:val="28"/>
        </w:rPr>
        <w:t>2023年</w:t>
      </w:r>
      <w:r>
        <w:rPr>
          <w:rFonts w:hint="eastAsia" w:ascii="仿宋" w:hAnsi="仿宋" w:eastAsia="仿宋" w:cs="宋体"/>
          <w:kern w:val="2"/>
          <w:sz w:val="28"/>
          <w:szCs w:val="28"/>
          <w:lang w:eastAsia="zh-CN"/>
        </w:rPr>
        <w:t>道路清扫经费资金项目支出</w:t>
      </w:r>
      <w:r>
        <w:rPr>
          <w:rFonts w:hint="eastAsia" w:ascii="仿宋" w:hAnsi="仿宋" w:eastAsia="仿宋" w:cs="宋体"/>
          <w:sz w:val="28"/>
          <w:szCs w:val="28"/>
        </w:rPr>
        <w:t>绩效评价</w:t>
      </w:r>
      <w:r>
        <w:rPr>
          <w:rFonts w:hint="eastAsia" w:ascii="仿宋" w:hAnsi="仿宋" w:eastAsia="仿宋" w:cs="宋体"/>
          <w:kern w:val="2"/>
          <w:sz w:val="28"/>
          <w:szCs w:val="28"/>
        </w:rPr>
        <w:t>实施方案</w:t>
      </w:r>
      <w:r>
        <w:rPr>
          <w:rFonts w:hint="eastAsia" w:ascii="仿宋" w:hAnsi="仿宋" w:eastAsia="仿宋" w:cs="宋体"/>
          <w:sz w:val="28"/>
          <w:szCs w:val="28"/>
        </w:rPr>
        <w:t>》</w:t>
      </w:r>
      <w:r>
        <w:rPr>
          <w:rFonts w:hint="eastAsia" w:ascii="仿宋" w:hAnsi="仿宋" w:eastAsia="仿宋" w:cs="宋体"/>
          <w:kern w:val="2"/>
          <w:sz w:val="28"/>
          <w:szCs w:val="28"/>
        </w:rPr>
        <w:t>开展实地</w:t>
      </w:r>
      <w:r>
        <w:rPr>
          <w:rFonts w:hint="eastAsia" w:ascii="仿宋" w:hAnsi="仿宋" w:eastAsia="仿宋" w:cs="宋体"/>
          <w:kern w:val="2"/>
          <w:sz w:val="28"/>
          <w:szCs w:val="28"/>
          <w:highlight w:val="none"/>
        </w:rPr>
        <w:t>调研工作，于</w:t>
      </w:r>
      <w:r>
        <w:rPr>
          <w:rFonts w:hint="eastAsia" w:ascii="仿宋" w:hAnsi="仿宋" w:eastAsia="仿宋" w:cs="宋体"/>
          <w:kern w:val="2"/>
          <w:sz w:val="28"/>
          <w:szCs w:val="28"/>
          <w:highlight w:val="none"/>
          <w:lang w:val="en-US" w:eastAsia="zh-CN"/>
        </w:rPr>
        <w:t>12月</w:t>
      </w:r>
      <w:r>
        <w:rPr>
          <w:rFonts w:hint="eastAsia" w:ascii="仿宋" w:hAnsi="仿宋" w:eastAsia="仿宋" w:cs="宋体"/>
          <w:kern w:val="2"/>
          <w:sz w:val="28"/>
          <w:szCs w:val="28"/>
          <w:highlight w:val="none"/>
        </w:rPr>
        <w:t>赴代表项目对2023年</w:t>
      </w:r>
      <w:r>
        <w:rPr>
          <w:rFonts w:hint="eastAsia" w:ascii="仿宋" w:hAnsi="仿宋" w:eastAsia="仿宋" w:cs="宋体"/>
          <w:kern w:val="2"/>
          <w:sz w:val="28"/>
          <w:szCs w:val="28"/>
          <w:highlight w:val="none"/>
          <w:lang w:eastAsia="zh-CN"/>
        </w:rPr>
        <w:t>道路清扫经费资金项目支出</w:t>
      </w:r>
      <w:r>
        <w:rPr>
          <w:rFonts w:hint="eastAsia" w:ascii="仿宋" w:hAnsi="仿宋" w:eastAsia="仿宋" w:cs="宋体"/>
          <w:kern w:val="2"/>
          <w:sz w:val="28"/>
          <w:szCs w:val="28"/>
          <w:highlight w:val="none"/>
        </w:rPr>
        <w:t>进行了实地调研，主要</w:t>
      </w:r>
      <w:r>
        <w:rPr>
          <w:rFonts w:hint="eastAsia" w:ascii="仿宋" w:hAnsi="仿宋" w:eastAsia="仿宋" w:cs="宋体"/>
          <w:kern w:val="2"/>
          <w:sz w:val="28"/>
          <w:szCs w:val="28"/>
        </w:rPr>
        <w:t>通过听取项目情况介绍、实地进行考察、发放调查问卷、开展座谈询问、对照查证复核等方式，对项目完成情况和基础材料进行核实，掌握第一手评价资料。</w:t>
      </w:r>
    </w:p>
    <w:p>
      <w:pPr>
        <w:pStyle w:val="32"/>
        <w:spacing w:beforeAutospacing="0" w:afterAutospacing="0" w:line="520" w:lineRule="exact"/>
        <w:ind w:firstLine="562" w:firstLineChars="200"/>
        <w:jc w:val="both"/>
        <w:outlineLvl w:val="9"/>
        <w:rPr>
          <w:rFonts w:hint="eastAsia" w:ascii="仿宋" w:hAnsi="仿宋" w:eastAsia="仿宋"/>
          <w:b/>
          <w:bCs/>
          <w:kern w:val="2"/>
          <w:sz w:val="28"/>
          <w:szCs w:val="28"/>
        </w:rPr>
      </w:pPr>
      <w:r>
        <w:rPr>
          <w:rFonts w:hint="eastAsia" w:ascii="仿宋" w:hAnsi="仿宋" w:eastAsia="仿宋"/>
          <w:b/>
          <w:bCs/>
          <w:kern w:val="2"/>
          <w:sz w:val="28"/>
          <w:szCs w:val="28"/>
        </w:rPr>
        <w:t>4.撰写报告</w:t>
      </w:r>
      <w:bookmarkEnd w:id="51"/>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评</w:t>
      </w:r>
      <w:r>
        <w:rPr>
          <w:rFonts w:hint="eastAsia" w:ascii="仿宋" w:hAnsi="仿宋" w:eastAsia="仿宋" w:cs="宋体"/>
          <w:kern w:val="2"/>
          <w:sz w:val="28"/>
          <w:szCs w:val="28"/>
        </w:rPr>
        <w:t>价小组采用科学合理方法对实地调研收集到的数据进行整理和分析。一是对数据进行分类。根据</w:t>
      </w:r>
      <w:r>
        <w:rPr>
          <w:rFonts w:hint="eastAsia" w:ascii="仿宋" w:hAnsi="仿宋" w:eastAsia="仿宋" w:cs="宋体"/>
          <w:sz w:val="28"/>
          <w:szCs w:val="28"/>
          <w:lang w:val="en-US" w:eastAsia="zh-CN"/>
        </w:rPr>
        <w:t>福州市仓山区环境卫生中心</w:t>
      </w:r>
      <w:r>
        <w:rPr>
          <w:rFonts w:hint="eastAsia" w:ascii="仿宋" w:hAnsi="仿宋" w:eastAsia="仿宋" w:cs="宋体"/>
          <w:kern w:val="2"/>
          <w:sz w:val="28"/>
          <w:szCs w:val="28"/>
        </w:rPr>
        <w:t>2023年</w:t>
      </w:r>
      <w:r>
        <w:rPr>
          <w:rFonts w:hint="eastAsia" w:ascii="仿宋" w:hAnsi="仿宋" w:eastAsia="仿宋" w:cs="宋体"/>
          <w:kern w:val="2"/>
          <w:sz w:val="28"/>
          <w:szCs w:val="28"/>
          <w:lang w:eastAsia="zh-CN"/>
        </w:rPr>
        <w:t>道路清扫经费资金项目支出</w:t>
      </w:r>
      <w:r>
        <w:rPr>
          <w:rFonts w:hint="eastAsia" w:ascii="仿宋" w:hAnsi="仿宋" w:eastAsia="仿宋" w:cs="宋体"/>
          <w:kern w:val="2"/>
          <w:sz w:val="28"/>
          <w:szCs w:val="28"/>
        </w:rPr>
        <w:t>绩效评价指标体系中的每项指标要求，对数据进行分类；二是对数据进行选取。从不同来源收集的资料中选取同一绩效评价指标的数据；三是对数据进行验证。对不同来源的数据进行交叉验证，剔除错误数据、无效数据；四是数据确定。在数据验证的基础上，最终确定用于绩效分析和评价的数据。</w:t>
      </w:r>
      <w:r>
        <w:rPr>
          <w:rFonts w:hint="eastAsia" w:ascii="仿宋" w:hAnsi="仿宋" w:eastAsia="仿宋" w:cs="宋体"/>
          <w:sz w:val="28"/>
          <w:szCs w:val="28"/>
        </w:rPr>
        <w:t>根据查阅资料、现场勘查、问卷调查、实地访谈整理出的有效信息，对项目目标任务完成情况、资金投入和使用情况、项目实施成效等方面进行综合绩效评价。五是提炼项目亮点，找出存在的问题并对其原因进行分析，同时提出改进意见或建议，最终通过综合评议形成评价结论，出具评价报告。</w:t>
      </w:r>
    </w:p>
    <w:p>
      <w:pPr>
        <w:spacing w:line="520" w:lineRule="exact"/>
        <w:ind w:firstLine="560" w:firstLineChars="200"/>
        <w:outlineLvl w:val="1"/>
        <w:rPr>
          <w:rFonts w:hint="eastAsia" w:ascii="楷体" w:hAnsi="楷体" w:eastAsia="楷体" w:cs="楷体"/>
          <w:sz w:val="28"/>
          <w:szCs w:val="28"/>
        </w:rPr>
      </w:pPr>
      <w:bookmarkStart w:id="52" w:name="_Toc23337"/>
      <w:bookmarkStart w:id="53" w:name="_Toc4222"/>
      <w:bookmarkStart w:id="54" w:name="_Toc10129"/>
      <w:bookmarkStart w:id="55" w:name="_Toc13017"/>
      <w:r>
        <w:rPr>
          <w:rFonts w:hint="eastAsia" w:ascii="楷体" w:hAnsi="楷体" w:eastAsia="楷体" w:cs="楷体"/>
          <w:color w:val="auto"/>
          <w:sz w:val="28"/>
          <w:szCs w:val="28"/>
        </w:rPr>
        <w:t>（</w:t>
      </w:r>
      <w:r>
        <w:rPr>
          <w:rFonts w:hint="eastAsia" w:ascii="楷体" w:hAnsi="楷体" w:eastAsia="楷体" w:cs="楷体"/>
          <w:sz w:val="28"/>
          <w:szCs w:val="28"/>
        </w:rPr>
        <w:t>四</w:t>
      </w:r>
      <w:r>
        <w:rPr>
          <w:rFonts w:hint="eastAsia" w:ascii="楷体" w:hAnsi="楷体" w:eastAsia="楷体" w:cs="楷体"/>
          <w:color w:val="auto"/>
          <w:sz w:val="28"/>
          <w:szCs w:val="28"/>
        </w:rPr>
        <w:t>）绩效评价原则</w:t>
      </w:r>
      <w:r>
        <w:rPr>
          <w:rFonts w:hint="eastAsia" w:ascii="楷体" w:hAnsi="楷体" w:eastAsia="楷体" w:cs="楷体"/>
          <w:sz w:val="28"/>
          <w:szCs w:val="28"/>
        </w:rPr>
        <w:t>和</w:t>
      </w:r>
      <w:r>
        <w:rPr>
          <w:rFonts w:hint="eastAsia" w:ascii="楷体" w:hAnsi="楷体" w:eastAsia="楷体" w:cs="楷体"/>
          <w:color w:val="auto"/>
          <w:sz w:val="28"/>
          <w:szCs w:val="28"/>
        </w:rPr>
        <w:t>评价方法</w:t>
      </w:r>
      <w:bookmarkEnd w:id="52"/>
      <w:bookmarkEnd w:id="53"/>
      <w:bookmarkEnd w:id="54"/>
      <w:bookmarkEnd w:id="55"/>
    </w:p>
    <w:p>
      <w:pPr>
        <w:spacing w:line="520" w:lineRule="exact"/>
        <w:ind w:firstLine="562" w:firstLineChars="200"/>
        <w:outlineLvl w:val="9"/>
        <w:rPr>
          <w:rFonts w:hint="eastAsia" w:ascii="仿宋" w:hAnsi="仿宋" w:eastAsia="仿宋"/>
          <w:b/>
          <w:bCs/>
          <w:sz w:val="28"/>
          <w:szCs w:val="28"/>
        </w:rPr>
      </w:pPr>
      <w:bookmarkStart w:id="56" w:name="_Toc31555"/>
      <w:bookmarkStart w:id="57" w:name="_Toc22465"/>
      <w:bookmarkStart w:id="58" w:name="_Toc21322"/>
      <w:r>
        <w:rPr>
          <w:rFonts w:hint="eastAsia" w:ascii="仿宋" w:hAnsi="仿宋" w:eastAsia="仿宋"/>
          <w:b/>
          <w:bCs/>
          <w:color w:val="auto"/>
          <w:sz w:val="28"/>
          <w:szCs w:val="28"/>
        </w:rPr>
        <w:t>1.绩效评价原则</w:t>
      </w:r>
      <w:bookmarkEnd w:id="56"/>
      <w:bookmarkEnd w:id="57"/>
      <w:bookmarkEnd w:id="58"/>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本次</w:t>
      </w:r>
      <w:r>
        <w:rPr>
          <w:rFonts w:hint="eastAsia" w:ascii="仿宋" w:hAnsi="仿宋" w:eastAsia="仿宋" w:cs="宋体"/>
          <w:sz w:val="28"/>
          <w:szCs w:val="28"/>
          <w:lang w:val="en-US" w:eastAsia="zh-CN"/>
        </w:rPr>
        <w:t>福州市仓山区环境卫生中心</w:t>
      </w:r>
      <w:r>
        <w:rPr>
          <w:rFonts w:hint="eastAsia" w:ascii="仿宋" w:hAnsi="仿宋" w:eastAsia="仿宋" w:cs="宋体"/>
          <w:sz w:val="28"/>
          <w:szCs w:val="28"/>
          <w:lang w:eastAsia="zh-CN"/>
        </w:rPr>
        <w:t>道路清扫经费资金项目支出</w:t>
      </w:r>
      <w:r>
        <w:rPr>
          <w:rFonts w:hint="eastAsia" w:ascii="仿宋" w:hAnsi="仿宋" w:eastAsia="仿宋" w:cs="宋体"/>
          <w:sz w:val="28"/>
          <w:szCs w:val="28"/>
        </w:rPr>
        <w:t>绩效评价为全面、真实、高质量</w:t>
      </w:r>
      <w:r>
        <w:rPr>
          <w:rFonts w:hint="eastAsia" w:ascii="仿宋" w:hAnsi="仿宋" w:eastAsia="仿宋" w:cs="宋体"/>
          <w:sz w:val="28"/>
          <w:szCs w:val="28"/>
          <w:lang w:eastAsia="zh-CN"/>
        </w:rPr>
        <w:t>地</w:t>
      </w:r>
      <w:r>
        <w:rPr>
          <w:rFonts w:hint="eastAsia" w:ascii="仿宋" w:hAnsi="仿宋" w:eastAsia="仿宋" w:cs="宋体"/>
          <w:sz w:val="28"/>
          <w:szCs w:val="28"/>
        </w:rPr>
        <w:t>反映</w:t>
      </w:r>
      <w:r>
        <w:rPr>
          <w:rFonts w:hint="eastAsia" w:ascii="仿宋" w:hAnsi="仿宋" w:eastAsia="仿宋" w:cs="宋体"/>
          <w:sz w:val="28"/>
          <w:szCs w:val="28"/>
          <w:lang w:val="en-US" w:eastAsia="zh-CN"/>
        </w:rPr>
        <w:t>福州市仓山区环境卫生中心</w:t>
      </w:r>
      <w:r>
        <w:rPr>
          <w:rFonts w:hint="eastAsia" w:ascii="仿宋" w:hAnsi="仿宋" w:eastAsia="仿宋" w:cs="宋体"/>
          <w:sz w:val="28"/>
          <w:szCs w:val="28"/>
          <w:lang w:eastAsia="zh-CN"/>
        </w:rPr>
        <w:t>道路清扫经费资金项目支出</w:t>
      </w:r>
      <w:r>
        <w:rPr>
          <w:rFonts w:hint="eastAsia" w:ascii="仿宋" w:hAnsi="仿宋" w:eastAsia="仿宋" w:cs="宋体"/>
          <w:sz w:val="28"/>
          <w:szCs w:val="28"/>
        </w:rPr>
        <w:t>财政资金使用情况，除了秉承科学规范、绩效导向、实事求是、客观公正、分级分类等绩效评价的总体原则外，绩效评价指标的确定应当遵循以下基本原则：</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（1）目的性原则。</w:t>
      </w:r>
      <w:r>
        <w:rPr>
          <w:rFonts w:hint="eastAsia" w:ascii="仿宋" w:hAnsi="仿宋" w:eastAsia="仿宋" w:cs="宋体"/>
          <w:sz w:val="28"/>
          <w:szCs w:val="28"/>
          <w:lang w:eastAsia="zh-CN"/>
        </w:rPr>
        <w:t>福州市仓山区环境卫生中心道路清扫经费资金项目支出</w:t>
      </w:r>
      <w:r>
        <w:rPr>
          <w:rFonts w:hint="eastAsia" w:ascii="仿宋" w:hAnsi="仿宋" w:eastAsia="仿宋" w:cs="宋体"/>
          <w:sz w:val="28"/>
          <w:szCs w:val="28"/>
        </w:rPr>
        <w:t>绩效评价指标体系构建必须以评价的</w:t>
      </w:r>
      <w:r>
        <w:rPr>
          <w:rFonts w:hint="eastAsia" w:ascii="仿宋" w:hAnsi="仿宋" w:eastAsia="仿宋" w:cs="宋体"/>
          <w:sz w:val="28"/>
          <w:szCs w:val="28"/>
          <w:lang w:val="en-US" w:eastAsia="zh-CN"/>
        </w:rPr>
        <w:t>目的</w:t>
      </w:r>
      <w:r>
        <w:rPr>
          <w:rFonts w:hint="eastAsia" w:ascii="仿宋" w:hAnsi="仿宋" w:eastAsia="仿宋" w:cs="宋体"/>
          <w:sz w:val="28"/>
          <w:szCs w:val="28"/>
        </w:rPr>
        <w:t>作为核心，即项目使用多少财政资金？使用的财政资金是否达到了预期目标？在确定每一个指标时，都要以评价的目的作为导向，考虑单个指标在整个指标体系中所在的位置及权重，确定指标的具体含义和范围。</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（2）相关性原则。指标体系的设计必须以项目的实际情况为基础，与评价的目的相关，选取与项目绩效评价目的关联度高的指标。构建的指标体系要与现行的办法、条例相契合，与现有的评价标准相关联。</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3）可操作性原则。在构建绩效评价指标体系时，要从实际使用的角度出发，考虑相关资料、数据的获取途径和便捷程度，还要确保所获取的资料的真实可靠性，在进行数据纵向比较时有相同的数据口径，确保所得出结论的可使用性。所以，指标在设定时要尽量选取有代表性的、重要的指标，力求简洁，避免指标体系复杂庞大。</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（4）定量与定性相结合原则。在构建指标体系时应该将定量指标与定性指标相结合，把定量指标作为主要指标，定性指标对定量指标进行补充，这样绩效评价的结果才能更加准确。</w:t>
      </w:r>
    </w:p>
    <w:p>
      <w:pPr>
        <w:spacing w:line="520" w:lineRule="exact"/>
        <w:ind w:firstLine="562" w:firstLineChars="200"/>
        <w:outlineLvl w:val="9"/>
        <w:rPr>
          <w:rFonts w:hint="eastAsia" w:ascii="仿宋" w:hAnsi="仿宋" w:eastAsia="仿宋"/>
          <w:b/>
          <w:bCs/>
          <w:sz w:val="28"/>
          <w:szCs w:val="28"/>
        </w:rPr>
      </w:pPr>
      <w:bookmarkStart w:id="59" w:name="_Toc8698"/>
      <w:bookmarkStart w:id="60" w:name="_Toc6903"/>
      <w:bookmarkStart w:id="61" w:name="_Toc30349"/>
      <w:r>
        <w:rPr>
          <w:rFonts w:hint="eastAsia" w:ascii="仿宋" w:hAnsi="仿宋" w:eastAsia="仿宋"/>
          <w:b/>
          <w:bCs/>
          <w:color w:val="auto"/>
          <w:sz w:val="28"/>
          <w:szCs w:val="28"/>
        </w:rPr>
        <w:t>2.评价方法</w:t>
      </w:r>
      <w:bookmarkEnd w:id="59"/>
      <w:bookmarkEnd w:id="60"/>
      <w:bookmarkEnd w:id="61"/>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根据财政部《项目支出绩效评价管理办法》（财预〔2020〕10号）文件要求，结合</w:t>
      </w:r>
      <w:r>
        <w:rPr>
          <w:rFonts w:hint="eastAsia" w:ascii="仿宋" w:hAnsi="仿宋" w:eastAsia="仿宋" w:cs="宋体"/>
          <w:sz w:val="28"/>
          <w:szCs w:val="28"/>
          <w:lang w:eastAsia="zh-CN"/>
        </w:rPr>
        <w:t>福州市仓山区环境卫生中心道路清扫经费资金项目支出</w:t>
      </w:r>
      <w:r>
        <w:rPr>
          <w:rFonts w:hint="eastAsia" w:ascii="仿宋" w:hAnsi="仿宋" w:eastAsia="仿宋" w:cs="宋体"/>
          <w:sz w:val="28"/>
          <w:szCs w:val="28"/>
        </w:rPr>
        <w:t>的实际情况，具体评价方法如下：</w:t>
      </w:r>
    </w:p>
    <w:p>
      <w:pPr>
        <w:spacing w:line="520" w:lineRule="exact"/>
        <w:ind w:firstLine="560" w:firstLineChars="200"/>
        <w:outlineLvl w:val="9"/>
        <w:rPr>
          <w:rFonts w:hint="eastAsia" w:ascii="仿宋" w:hAnsi="仿宋" w:eastAsia="仿宋" w:cs="宋体"/>
          <w:sz w:val="28"/>
          <w:szCs w:val="28"/>
        </w:rPr>
      </w:pPr>
      <w:r>
        <w:rPr>
          <w:rFonts w:hint="eastAsia" w:ascii="仿宋" w:hAnsi="仿宋" w:eastAsia="仿宋" w:cs="宋体"/>
          <w:sz w:val="28"/>
          <w:szCs w:val="28"/>
        </w:rPr>
        <w:t>（1）比较法</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通过对</w:t>
      </w:r>
      <w:r>
        <w:rPr>
          <w:rFonts w:hint="eastAsia" w:ascii="仿宋" w:hAnsi="仿宋" w:eastAsia="仿宋" w:cs="宋体"/>
          <w:sz w:val="28"/>
          <w:szCs w:val="28"/>
          <w:lang w:eastAsia="zh-CN"/>
        </w:rPr>
        <w:t>福州市仓山区环境卫生中心道路清扫经费资金项目支出</w:t>
      </w:r>
      <w:r>
        <w:rPr>
          <w:rFonts w:hint="eastAsia" w:ascii="仿宋" w:hAnsi="仿宋" w:eastAsia="仿宋" w:cs="宋体"/>
          <w:sz w:val="28"/>
          <w:szCs w:val="28"/>
        </w:rPr>
        <w:t>计划目标与实际完成情况及实施前后效果对比，采取定量分析与定性分析相结合的方法，综合分析项目绩效目标的实现程度，依据分析结果进行绩效评价。</w:t>
      </w:r>
    </w:p>
    <w:p>
      <w:pPr>
        <w:spacing w:line="520" w:lineRule="exact"/>
        <w:ind w:firstLine="560" w:firstLineChars="200"/>
        <w:outlineLvl w:val="9"/>
        <w:rPr>
          <w:rFonts w:hint="eastAsia" w:ascii="仿宋" w:hAnsi="仿宋" w:eastAsia="仿宋" w:cs="宋体"/>
          <w:sz w:val="28"/>
          <w:szCs w:val="28"/>
        </w:rPr>
      </w:pPr>
      <w:r>
        <w:rPr>
          <w:rFonts w:hint="eastAsia" w:ascii="仿宋" w:hAnsi="仿宋" w:eastAsia="仿宋" w:cs="宋体"/>
          <w:sz w:val="28"/>
          <w:szCs w:val="28"/>
        </w:rPr>
        <w:t>（2）公众评判法</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公众评判法指通过专家评估、公众问卷及抽样调查等对财政支出效果进行评判，评价绩效目标实现程度</w:t>
      </w:r>
      <w:r>
        <w:rPr>
          <w:rFonts w:hint="eastAsia" w:ascii="仿宋" w:hAnsi="仿宋" w:eastAsia="仿宋" w:cs="宋体"/>
          <w:sz w:val="28"/>
          <w:szCs w:val="28"/>
          <w:highlight w:val="none"/>
        </w:rPr>
        <w:t>。本项目通过对</w:t>
      </w:r>
      <w:r>
        <w:rPr>
          <w:rFonts w:hint="eastAsia" w:ascii="仿宋" w:hAnsi="仿宋" w:eastAsia="仿宋" w:cs="宋体"/>
          <w:sz w:val="28"/>
          <w:szCs w:val="28"/>
          <w:highlight w:val="none"/>
          <w:lang w:val="en-US" w:eastAsia="zh-CN"/>
        </w:rPr>
        <w:t>项目受益对象发</w:t>
      </w:r>
      <w:r>
        <w:rPr>
          <w:rFonts w:hint="eastAsia" w:ascii="仿宋" w:hAnsi="仿宋" w:eastAsia="仿宋" w:cs="宋体"/>
          <w:sz w:val="28"/>
          <w:szCs w:val="28"/>
          <w:highlight w:val="none"/>
        </w:rPr>
        <w:t>放调查问卷，了解群众对</w:t>
      </w:r>
      <w:r>
        <w:rPr>
          <w:rFonts w:hint="eastAsia" w:ascii="仿宋" w:hAnsi="仿宋" w:eastAsia="仿宋" w:cs="宋体"/>
          <w:sz w:val="28"/>
          <w:szCs w:val="28"/>
          <w:highlight w:val="none"/>
          <w:lang w:eastAsia="zh-CN"/>
        </w:rPr>
        <w:t>道路清扫经费资金项目支出</w:t>
      </w:r>
      <w:r>
        <w:rPr>
          <w:rFonts w:hint="eastAsia" w:ascii="仿宋" w:hAnsi="仿宋" w:eastAsia="仿宋" w:cs="宋体"/>
          <w:sz w:val="28"/>
          <w:szCs w:val="28"/>
          <w:highlight w:val="none"/>
        </w:rPr>
        <w:t>实施效果的整体</w:t>
      </w:r>
      <w:r>
        <w:rPr>
          <w:rFonts w:hint="eastAsia" w:ascii="仿宋" w:hAnsi="仿宋" w:eastAsia="仿宋" w:cs="宋体"/>
          <w:sz w:val="28"/>
          <w:szCs w:val="28"/>
        </w:rPr>
        <w:t>满意情况。</w:t>
      </w:r>
    </w:p>
    <w:p>
      <w:pPr>
        <w:spacing w:line="520" w:lineRule="exact"/>
        <w:ind w:firstLine="560" w:firstLineChars="200"/>
        <w:outlineLvl w:val="1"/>
        <w:rPr>
          <w:rFonts w:hint="eastAsia" w:ascii="楷体" w:hAnsi="楷体" w:eastAsia="楷体" w:cs="楷体"/>
          <w:kern w:val="2"/>
          <w:sz w:val="28"/>
          <w:szCs w:val="28"/>
        </w:rPr>
      </w:pPr>
      <w:bookmarkStart w:id="62" w:name="_Toc31769"/>
      <w:r>
        <w:rPr>
          <w:rFonts w:hint="eastAsia" w:ascii="楷体" w:hAnsi="楷体" w:eastAsia="楷体" w:cs="楷体"/>
          <w:kern w:val="2"/>
          <w:sz w:val="28"/>
          <w:szCs w:val="28"/>
        </w:rPr>
        <w:t>（五）绩效评价的指标体系</w:t>
      </w:r>
      <w:bookmarkEnd w:id="62"/>
    </w:p>
    <w:p>
      <w:pPr>
        <w:shd w:val="clear" w:color="auto" w:fill="FFFFFF"/>
        <w:spacing w:line="520" w:lineRule="atLeas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rPr>
        <w:t>绩效评价工作组根据财政部、福建省和福州市财政支出绩效评价管理办法的要求，围绕决策、过程、产出和效益四个方面设计绩效评价指标、评分标准和分值。</w:t>
      </w:r>
      <w:r>
        <w:rPr>
          <w:rFonts w:hint="eastAsia" w:ascii="仿宋" w:hAnsi="仿宋" w:eastAsia="仿宋" w:cs="宋体"/>
          <w:sz w:val="28"/>
          <w:szCs w:val="28"/>
          <w:highlight w:val="none"/>
        </w:rPr>
        <w:t>指标体系共设置4个一级指标、14个二级指标、</w:t>
      </w:r>
      <w:r>
        <w:rPr>
          <w:rFonts w:hint="eastAsia" w:ascii="仿宋" w:hAnsi="仿宋" w:eastAsia="仿宋" w:cs="宋体"/>
          <w:sz w:val="28"/>
          <w:szCs w:val="28"/>
          <w:highlight w:val="none"/>
          <w:lang w:val="en-US" w:eastAsia="zh-CN"/>
        </w:rPr>
        <w:t>27</w:t>
      </w:r>
      <w:r>
        <w:rPr>
          <w:rFonts w:hint="eastAsia" w:ascii="仿宋" w:hAnsi="仿宋" w:eastAsia="仿宋" w:cs="宋体"/>
          <w:sz w:val="28"/>
          <w:szCs w:val="28"/>
          <w:highlight w:val="none"/>
        </w:rPr>
        <w:t>个三级指标。指标体系设定满分100分，其中：“决策”20分，主要体现项目立项、绩效目标和资金投入情况；“过程”20分，主要体现项目的资金管理和组织实施方面的情况；“产出”30分，主要体现产出数量、产出质量、产出时效和产出成本情况；“效益”30分，主要体现项目社会效益、经济效益、生态效益、可持续影响和服务对象满意度等，详见附件</w:t>
      </w:r>
      <w:r>
        <w:rPr>
          <w:rFonts w:hint="eastAsia" w:ascii="仿宋" w:hAnsi="仿宋" w:eastAsia="仿宋" w:cs="宋体"/>
          <w:sz w:val="28"/>
          <w:szCs w:val="28"/>
          <w:highlight w:val="none"/>
          <w:lang w:eastAsia="zh-CN"/>
        </w:rPr>
        <w:t>一</w:t>
      </w:r>
      <w:r>
        <w:rPr>
          <w:rFonts w:hint="eastAsia" w:ascii="仿宋" w:hAnsi="仿宋" w:eastAsia="仿宋" w:cs="宋体"/>
          <w:sz w:val="28"/>
          <w:szCs w:val="28"/>
          <w:highlight w:val="none"/>
        </w:rPr>
        <w:t>《20</w:t>
      </w:r>
      <w:r>
        <w:rPr>
          <w:rFonts w:ascii="仿宋" w:hAnsi="仿宋" w:eastAsia="仿宋" w:cs="宋体"/>
          <w:sz w:val="28"/>
          <w:szCs w:val="28"/>
          <w:highlight w:val="none"/>
        </w:rPr>
        <w:t>2</w:t>
      </w:r>
      <w:r>
        <w:rPr>
          <w:rFonts w:hint="eastAsia" w:ascii="仿宋" w:hAnsi="仿宋" w:eastAsia="仿宋" w:cs="宋体"/>
          <w:sz w:val="28"/>
          <w:szCs w:val="28"/>
          <w:highlight w:val="none"/>
        </w:rPr>
        <w:t>3年</w:t>
      </w:r>
      <w:r>
        <w:rPr>
          <w:rFonts w:hint="eastAsia" w:ascii="仿宋" w:hAnsi="仿宋" w:eastAsia="仿宋" w:cs="宋体"/>
          <w:sz w:val="28"/>
          <w:szCs w:val="28"/>
          <w:highlight w:val="none"/>
          <w:lang w:eastAsia="zh-CN"/>
        </w:rPr>
        <w:t>福州市仓山区环境卫生中心道路清扫经费资金项目支出</w:t>
      </w:r>
      <w:r>
        <w:rPr>
          <w:rFonts w:hint="eastAsia" w:ascii="仿宋" w:hAnsi="仿宋" w:eastAsia="仿宋" w:cs="宋体"/>
          <w:sz w:val="28"/>
          <w:szCs w:val="28"/>
          <w:highlight w:val="none"/>
        </w:rPr>
        <w:t>绩效评价指标体系及得分表》。</w:t>
      </w:r>
    </w:p>
    <w:p>
      <w:pPr>
        <w:shd w:val="clear" w:color="auto" w:fill="FFFFFF"/>
        <w:spacing w:line="520" w:lineRule="atLeast"/>
        <w:ind w:firstLine="560" w:firstLineChars="200"/>
        <w:rPr>
          <w:rFonts w:hint="eastAsia" w:ascii="仿宋" w:hAnsi="仿宋" w:eastAsia="仿宋" w:cs="宋体"/>
          <w:sz w:val="28"/>
          <w:szCs w:val="28"/>
        </w:rPr>
      </w:pPr>
      <w:r>
        <w:rPr>
          <w:rFonts w:hint="eastAsia" w:ascii="仿宋" w:hAnsi="仿宋" w:eastAsia="仿宋" w:cs="宋体"/>
          <w:sz w:val="28"/>
          <w:szCs w:val="28"/>
        </w:rPr>
        <w:t>绩效评价结果采取评分和评级相结合的方式。总分设置为100分，等级划分为四档：90（含）-100分为优、80（含）-90分为良、60（含）-80分为中、60分以下为差。</w:t>
      </w:r>
    </w:p>
    <w:p>
      <w:pPr>
        <w:spacing w:line="520" w:lineRule="exact"/>
        <w:ind w:firstLine="560" w:firstLineChars="200"/>
        <w:outlineLvl w:val="0"/>
        <w:rPr>
          <w:rFonts w:hint="eastAsia" w:ascii="黑体" w:hAnsi="黑体" w:eastAsia="黑体" w:cs="黑体"/>
          <w:color w:val="auto"/>
          <w:sz w:val="28"/>
          <w:szCs w:val="28"/>
        </w:rPr>
      </w:pPr>
      <w:bookmarkStart w:id="63" w:name="_Toc5250"/>
      <w:bookmarkStart w:id="64" w:name="_Toc27611"/>
      <w:bookmarkStart w:id="65" w:name="_Toc24397"/>
      <w:bookmarkStart w:id="66" w:name="_Toc18361"/>
      <w:bookmarkStart w:id="67" w:name="_Toc24212"/>
      <w:r>
        <w:rPr>
          <w:rFonts w:hint="eastAsia" w:ascii="黑体" w:hAnsi="黑体" w:eastAsia="黑体" w:cs="黑体"/>
          <w:color w:val="auto"/>
          <w:sz w:val="28"/>
          <w:szCs w:val="28"/>
        </w:rPr>
        <w:t>三、评价结论</w:t>
      </w:r>
      <w:bookmarkEnd w:id="63"/>
      <w:bookmarkEnd w:id="64"/>
      <w:bookmarkEnd w:id="65"/>
      <w:bookmarkEnd w:id="66"/>
      <w:bookmarkEnd w:id="67"/>
    </w:p>
    <w:p>
      <w:pPr>
        <w:spacing w:line="520" w:lineRule="exact"/>
        <w:ind w:firstLine="560" w:firstLineChars="200"/>
        <w:outlineLvl w:val="9"/>
        <w:rPr>
          <w:rFonts w:hint="eastAsia" w:ascii="黑体" w:hAnsi="黑体" w:eastAsia="黑体" w:cs="黑体"/>
          <w:color w:val="auto"/>
          <w:sz w:val="28"/>
          <w:szCs w:val="28"/>
        </w:rPr>
      </w:pPr>
      <w:r>
        <w:rPr>
          <w:rFonts w:hint="eastAsia" w:ascii="仿宋" w:hAnsi="仿宋" w:eastAsia="仿宋" w:cs="宋体"/>
          <w:sz w:val="28"/>
          <w:szCs w:val="28"/>
        </w:rPr>
        <w:t>本次项目绩效评价的可靠性基于</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rPr>
        <w:t>提供佐证材料的全面性和准确性，调研组尽可能地收集更为全面、有效、准确的文件和数据，结合现场勘查、问卷和访谈等调研实际情况尽可能做出可靠的评价结论。从项目决策、项目过程、项目产出、项目效益四个方面对此项目进行全面、客观的分析评价。得分情况如表3-1：</w:t>
      </w:r>
    </w:p>
    <w:p>
      <w:pPr>
        <w:spacing w:line="520" w:lineRule="exact"/>
        <w:jc w:val="center"/>
        <w:rPr>
          <w:rFonts w:hint="eastAsia" w:ascii="仿宋" w:hAnsi="仿宋" w:eastAsia="仿宋" w:cs="宋体"/>
          <w:b/>
          <w:bCs/>
        </w:rPr>
      </w:pPr>
      <w:r>
        <w:rPr>
          <w:rFonts w:hint="eastAsia" w:ascii="仿宋" w:hAnsi="仿宋" w:eastAsia="仿宋" w:cs="宋体"/>
          <w:b/>
          <w:bCs/>
        </w:rPr>
        <w:t>表3-1</w:t>
      </w:r>
      <w:r>
        <w:rPr>
          <w:rFonts w:ascii="仿宋" w:hAnsi="仿宋" w:eastAsia="仿宋" w:cs="宋体"/>
          <w:b/>
          <w:bCs/>
        </w:rPr>
        <w:t xml:space="preserve"> </w:t>
      </w:r>
      <w:r>
        <w:rPr>
          <w:rFonts w:hint="eastAsia" w:ascii="仿宋" w:hAnsi="仿宋" w:eastAsia="仿宋" w:cs="宋体"/>
          <w:b/>
          <w:bCs/>
        </w:rPr>
        <w:t>项目评价得分情况</w:t>
      </w:r>
    </w:p>
    <w:tbl>
      <w:tblPr>
        <w:tblStyle w:val="36"/>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31"/>
        <w:gridCol w:w="1923"/>
        <w:gridCol w:w="1139"/>
        <w:gridCol w:w="1531"/>
        <w:gridCol w:w="15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center"/>
              <w:rPr>
                <w:rFonts w:hint="eastAsia" w:ascii="仿宋" w:hAnsi="仿宋" w:eastAsia="仿宋"/>
                <w:b/>
                <w:bCs/>
              </w:rPr>
            </w:pPr>
            <w:r>
              <w:rPr>
                <w:rFonts w:hint="eastAsia" w:ascii="仿宋" w:hAnsi="仿宋" w:eastAsia="仿宋"/>
                <w:b/>
                <w:bCs/>
              </w:rPr>
              <w:t>序号</w:t>
            </w:r>
          </w:p>
        </w:tc>
        <w:tc>
          <w:tcPr>
            <w:tcW w:w="1923" w:type="dxa"/>
            <w:shd w:val="clear" w:color="auto" w:fill="auto"/>
          </w:tcPr>
          <w:p>
            <w:pPr>
              <w:spacing w:line="276" w:lineRule="auto"/>
              <w:jc w:val="center"/>
              <w:rPr>
                <w:rFonts w:hint="eastAsia" w:ascii="仿宋" w:hAnsi="仿宋" w:eastAsia="仿宋"/>
                <w:b/>
                <w:bCs/>
              </w:rPr>
            </w:pPr>
            <w:r>
              <w:rPr>
                <w:rFonts w:hint="eastAsia" w:ascii="仿宋" w:hAnsi="仿宋" w:eastAsia="仿宋"/>
                <w:b/>
                <w:bCs/>
              </w:rPr>
              <w:t>评价内容</w:t>
            </w:r>
          </w:p>
        </w:tc>
        <w:tc>
          <w:tcPr>
            <w:tcW w:w="1139" w:type="dxa"/>
            <w:shd w:val="clear" w:color="auto" w:fill="auto"/>
          </w:tcPr>
          <w:p>
            <w:pPr>
              <w:spacing w:line="276" w:lineRule="auto"/>
              <w:jc w:val="center"/>
              <w:rPr>
                <w:rFonts w:hint="eastAsia" w:ascii="仿宋" w:hAnsi="仿宋" w:eastAsia="仿宋"/>
                <w:b/>
                <w:bCs/>
              </w:rPr>
            </w:pPr>
            <w:r>
              <w:rPr>
                <w:rFonts w:hint="eastAsia" w:ascii="仿宋" w:hAnsi="仿宋" w:eastAsia="仿宋"/>
                <w:b/>
                <w:bCs/>
              </w:rPr>
              <w:t>分值</w:t>
            </w:r>
          </w:p>
        </w:tc>
        <w:tc>
          <w:tcPr>
            <w:tcW w:w="1531" w:type="dxa"/>
            <w:shd w:val="clear" w:color="auto" w:fill="auto"/>
          </w:tcPr>
          <w:p>
            <w:pPr>
              <w:spacing w:line="276" w:lineRule="auto"/>
              <w:jc w:val="center"/>
              <w:rPr>
                <w:rFonts w:hint="eastAsia" w:ascii="仿宋" w:hAnsi="仿宋" w:eastAsia="仿宋"/>
                <w:b/>
                <w:bCs/>
              </w:rPr>
            </w:pPr>
            <w:r>
              <w:rPr>
                <w:rFonts w:hint="eastAsia" w:ascii="仿宋" w:hAnsi="仿宋" w:eastAsia="仿宋"/>
                <w:b/>
                <w:bCs/>
              </w:rPr>
              <w:t>得分</w:t>
            </w:r>
          </w:p>
        </w:tc>
        <w:tc>
          <w:tcPr>
            <w:tcW w:w="1531" w:type="dxa"/>
            <w:shd w:val="clear" w:color="auto" w:fill="auto"/>
          </w:tcPr>
          <w:p>
            <w:pPr>
              <w:spacing w:line="276" w:lineRule="auto"/>
              <w:jc w:val="center"/>
              <w:rPr>
                <w:rFonts w:hint="eastAsia" w:ascii="仿宋" w:hAnsi="仿宋" w:eastAsia="仿宋"/>
                <w:b/>
                <w:bCs/>
              </w:rPr>
            </w:pPr>
            <w:r>
              <w:rPr>
                <w:rFonts w:hint="eastAsia" w:ascii="仿宋" w:hAnsi="仿宋" w:eastAsia="仿宋"/>
                <w:b/>
                <w:bCs/>
              </w:rPr>
              <w:t>得分率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center"/>
              <w:rPr>
                <w:rFonts w:hint="eastAsia" w:ascii="仿宋" w:hAnsi="仿宋" w:eastAsia="仿宋"/>
              </w:rPr>
            </w:pPr>
            <w:r>
              <w:rPr>
                <w:rFonts w:hint="eastAsia" w:ascii="仿宋" w:hAnsi="仿宋" w:eastAsia="仿宋"/>
              </w:rPr>
              <w:t>1</w:t>
            </w:r>
          </w:p>
        </w:tc>
        <w:tc>
          <w:tcPr>
            <w:tcW w:w="1923" w:type="dxa"/>
            <w:shd w:val="clear" w:color="auto" w:fill="auto"/>
          </w:tcPr>
          <w:p>
            <w:pPr>
              <w:spacing w:line="276" w:lineRule="auto"/>
              <w:jc w:val="center"/>
              <w:rPr>
                <w:rFonts w:hint="eastAsia" w:ascii="仿宋" w:hAnsi="仿宋" w:eastAsia="仿宋"/>
              </w:rPr>
            </w:pPr>
            <w:r>
              <w:rPr>
                <w:rFonts w:hint="eastAsia" w:ascii="仿宋" w:hAnsi="仿宋" w:eastAsia="仿宋"/>
              </w:rPr>
              <w:t>项目决策情况</w:t>
            </w:r>
          </w:p>
        </w:tc>
        <w:tc>
          <w:tcPr>
            <w:tcW w:w="1139" w:type="dxa"/>
            <w:shd w:val="clear" w:color="auto" w:fill="auto"/>
          </w:tcPr>
          <w:p>
            <w:pPr>
              <w:spacing w:line="276" w:lineRule="auto"/>
              <w:jc w:val="center"/>
              <w:rPr>
                <w:rFonts w:hint="eastAsia" w:ascii="仿宋" w:hAnsi="仿宋" w:eastAsia="仿宋"/>
              </w:rPr>
            </w:pPr>
            <w:r>
              <w:rPr>
                <w:rFonts w:ascii="仿宋" w:hAnsi="仿宋" w:eastAsia="仿宋"/>
              </w:rPr>
              <w:t>20</w:t>
            </w:r>
          </w:p>
        </w:tc>
        <w:tc>
          <w:tcPr>
            <w:tcW w:w="1531" w:type="dxa"/>
            <w:shd w:val="clear" w:color="auto" w:fill="auto"/>
          </w:tcPr>
          <w:p>
            <w:pPr>
              <w:spacing w:line="276" w:lineRule="auto"/>
              <w:jc w:val="center"/>
              <w:rPr>
                <w:rFonts w:hint="eastAsia" w:ascii="仿宋" w:hAnsi="仿宋" w:eastAsia="仿宋"/>
              </w:rPr>
            </w:pPr>
            <w:r>
              <w:rPr>
                <w:rFonts w:hint="eastAsia" w:ascii="仿宋" w:hAnsi="仿宋" w:eastAsia="仿宋"/>
              </w:rPr>
              <w:t>18</w:t>
            </w:r>
          </w:p>
        </w:tc>
        <w:tc>
          <w:tcPr>
            <w:tcW w:w="1531" w:type="dxa"/>
            <w:shd w:val="clear" w:color="auto" w:fill="auto"/>
            <w:vAlign w:val="bottom"/>
          </w:tcPr>
          <w:p>
            <w:pPr>
              <w:jc w:val="center"/>
              <w:rPr>
                <w:rFonts w:hint="eastAsia" w:ascii="仿宋" w:hAnsi="仿宋" w:eastAsia="仿宋"/>
              </w:rPr>
            </w:pPr>
            <w:r>
              <w:rPr>
                <w:rFonts w:hint="eastAsia" w:ascii="仿宋" w:hAnsi="仿宋" w:eastAsia="仿宋"/>
              </w:rPr>
              <w:t>90%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2</w:t>
            </w:r>
          </w:p>
        </w:tc>
        <w:tc>
          <w:tcPr>
            <w:tcW w:w="1923"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项目过程情况</w:t>
            </w:r>
          </w:p>
        </w:tc>
        <w:tc>
          <w:tcPr>
            <w:tcW w:w="1139"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20</w:t>
            </w:r>
          </w:p>
        </w:tc>
        <w:tc>
          <w:tcPr>
            <w:tcW w:w="1531" w:type="dxa"/>
            <w:shd w:val="clear" w:color="auto" w:fill="auto"/>
          </w:tcPr>
          <w:p>
            <w:pPr>
              <w:spacing w:line="276" w:lineRule="auto"/>
              <w:jc w:val="center"/>
              <w:rPr>
                <w:rFonts w:hint="eastAsia" w:ascii="仿宋" w:hAnsi="仿宋" w:eastAsia="仿宋"/>
                <w:highlight w:val="none"/>
                <w:lang w:eastAsia="zh-CN"/>
              </w:rPr>
            </w:pPr>
            <w:r>
              <w:rPr>
                <w:rFonts w:hint="eastAsia" w:ascii="仿宋" w:hAnsi="仿宋" w:eastAsia="仿宋"/>
                <w:highlight w:val="none"/>
              </w:rPr>
              <w:t>17.</w:t>
            </w:r>
            <w:r>
              <w:rPr>
                <w:rFonts w:hint="eastAsia" w:ascii="仿宋" w:hAnsi="仿宋" w:eastAsia="仿宋"/>
                <w:highlight w:val="none"/>
                <w:lang w:val="en-US" w:eastAsia="zh-CN"/>
              </w:rPr>
              <w:t>8</w:t>
            </w:r>
          </w:p>
        </w:tc>
        <w:tc>
          <w:tcPr>
            <w:tcW w:w="1531" w:type="dxa"/>
            <w:shd w:val="clear" w:color="auto" w:fill="auto"/>
            <w:vAlign w:val="bottom"/>
          </w:tcPr>
          <w:p>
            <w:pPr>
              <w:jc w:val="center"/>
              <w:rPr>
                <w:rFonts w:hint="eastAsia" w:ascii="仿宋" w:hAnsi="仿宋" w:eastAsia="仿宋"/>
                <w:highlight w:val="none"/>
              </w:rPr>
            </w:pPr>
            <w:r>
              <w:rPr>
                <w:rFonts w:hint="eastAsia" w:ascii="仿宋" w:hAnsi="仿宋" w:eastAsia="仿宋"/>
                <w:highlight w:val="none"/>
              </w:rPr>
              <w:t>8</w:t>
            </w:r>
            <w:r>
              <w:rPr>
                <w:rFonts w:hint="eastAsia" w:ascii="仿宋" w:hAnsi="仿宋" w:eastAsia="仿宋"/>
                <w:highlight w:val="none"/>
                <w:lang w:val="en-US" w:eastAsia="zh-CN"/>
              </w:rPr>
              <w:t>9</w:t>
            </w:r>
            <w:r>
              <w:rPr>
                <w:rFonts w:hint="eastAsia" w:ascii="仿宋" w:hAnsi="仿宋" w:eastAsia="仿宋"/>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3</w:t>
            </w:r>
          </w:p>
        </w:tc>
        <w:tc>
          <w:tcPr>
            <w:tcW w:w="1923"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项目产出情况</w:t>
            </w:r>
          </w:p>
        </w:tc>
        <w:tc>
          <w:tcPr>
            <w:tcW w:w="1139" w:type="dxa"/>
            <w:shd w:val="clear" w:color="auto" w:fill="auto"/>
          </w:tcPr>
          <w:p>
            <w:pPr>
              <w:spacing w:line="276" w:lineRule="auto"/>
              <w:jc w:val="center"/>
              <w:rPr>
                <w:rFonts w:hint="eastAsia" w:ascii="仿宋" w:hAnsi="仿宋" w:eastAsia="仿宋"/>
                <w:highlight w:val="none"/>
              </w:rPr>
            </w:pPr>
            <w:r>
              <w:rPr>
                <w:rFonts w:ascii="仿宋" w:hAnsi="仿宋" w:eastAsia="仿宋"/>
                <w:highlight w:val="none"/>
              </w:rPr>
              <w:t>30</w:t>
            </w:r>
          </w:p>
        </w:tc>
        <w:tc>
          <w:tcPr>
            <w:tcW w:w="1531" w:type="dxa"/>
            <w:shd w:val="clear" w:color="auto" w:fill="auto"/>
          </w:tcPr>
          <w:p>
            <w:pPr>
              <w:spacing w:line="276" w:lineRule="auto"/>
              <w:jc w:val="center"/>
              <w:rPr>
                <w:rFonts w:hint="default" w:ascii="仿宋" w:hAnsi="仿宋" w:eastAsia="仿宋"/>
                <w:highlight w:val="none"/>
                <w:lang w:val="en-US" w:eastAsia="zh-CN"/>
              </w:rPr>
            </w:pPr>
            <w:r>
              <w:rPr>
                <w:rFonts w:hint="eastAsia" w:ascii="仿宋" w:hAnsi="仿宋" w:eastAsia="仿宋"/>
                <w:highlight w:val="none"/>
              </w:rPr>
              <w:t>2</w:t>
            </w:r>
            <w:r>
              <w:rPr>
                <w:rFonts w:hint="eastAsia" w:ascii="仿宋" w:hAnsi="仿宋" w:eastAsia="仿宋"/>
                <w:highlight w:val="none"/>
                <w:lang w:val="en-US" w:eastAsia="zh-CN"/>
              </w:rPr>
              <w:t>9.55</w:t>
            </w:r>
          </w:p>
        </w:tc>
        <w:tc>
          <w:tcPr>
            <w:tcW w:w="1531" w:type="dxa"/>
            <w:shd w:val="clear" w:color="auto" w:fill="auto"/>
            <w:vAlign w:val="bottom"/>
          </w:tcPr>
          <w:p>
            <w:pPr>
              <w:jc w:val="center"/>
              <w:rPr>
                <w:rFonts w:hint="eastAsia" w:ascii="仿宋" w:hAnsi="仿宋" w:eastAsia="仿宋"/>
                <w:highlight w:val="none"/>
              </w:rPr>
            </w:pPr>
            <w:r>
              <w:rPr>
                <w:rFonts w:hint="eastAsia" w:ascii="仿宋" w:hAnsi="仿宋" w:eastAsia="仿宋"/>
                <w:highlight w:val="none"/>
                <w:lang w:val="en-US" w:eastAsia="zh-CN"/>
              </w:rPr>
              <w:t>98.5</w:t>
            </w:r>
            <w:r>
              <w:rPr>
                <w:rFonts w:hint="eastAsia" w:ascii="仿宋" w:hAnsi="仿宋" w:eastAsia="仿宋"/>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531"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4</w:t>
            </w:r>
          </w:p>
        </w:tc>
        <w:tc>
          <w:tcPr>
            <w:tcW w:w="1923"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项目效益情况</w:t>
            </w:r>
          </w:p>
        </w:tc>
        <w:tc>
          <w:tcPr>
            <w:tcW w:w="1139" w:type="dxa"/>
            <w:shd w:val="clear" w:color="auto" w:fill="auto"/>
          </w:tcPr>
          <w:p>
            <w:pPr>
              <w:spacing w:line="276" w:lineRule="auto"/>
              <w:jc w:val="center"/>
              <w:rPr>
                <w:rFonts w:hint="eastAsia" w:ascii="仿宋" w:hAnsi="仿宋" w:eastAsia="仿宋"/>
                <w:highlight w:val="none"/>
              </w:rPr>
            </w:pPr>
            <w:r>
              <w:rPr>
                <w:rFonts w:hint="eastAsia" w:ascii="仿宋" w:hAnsi="仿宋" w:eastAsia="仿宋"/>
                <w:highlight w:val="none"/>
              </w:rPr>
              <w:t>30</w:t>
            </w:r>
          </w:p>
        </w:tc>
        <w:tc>
          <w:tcPr>
            <w:tcW w:w="1531" w:type="dxa"/>
            <w:shd w:val="clear" w:color="auto" w:fill="auto"/>
          </w:tcPr>
          <w:p>
            <w:pPr>
              <w:spacing w:line="276" w:lineRule="auto"/>
              <w:jc w:val="center"/>
              <w:rPr>
                <w:rFonts w:hint="default" w:ascii="仿宋" w:hAnsi="仿宋" w:eastAsia="仿宋"/>
                <w:highlight w:val="none"/>
                <w:lang w:val="en-US" w:eastAsia="zh-CN"/>
              </w:rPr>
            </w:pPr>
            <w:r>
              <w:rPr>
                <w:rFonts w:hint="eastAsia" w:ascii="仿宋" w:hAnsi="仿宋" w:eastAsia="仿宋"/>
                <w:highlight w:val="none"/>
                <w:lang w:val="en-US" w:eastAsia="zh-CN"/>
              </w:rPr>
              <w:t>27.09</w:t>
            </w:r>
          </w:p>
        </w:tc>
        <w:tc>
          <w:tcPr>
            <w:tcW w:w="1531" w:type="dxa"/>
            <w:shd w:val="clear" w:color="auto" w:fill="auto"/>
            <w:vAlign w:val="bottom"/>
          </w:tcPr>
          <w:p>
            <w:pPr>
              <w:jc w:val="center"/>
              <w:rPr>
                <w:rFonts w:hint="default" w:ascii="仿宋" w:hAnsi="仿宋" w:eastAsia="仿宋"/>
                <w:highlight w:val="none"/>
                <w:lang w:val="en-US"/>
              </w:rPr>
            </w:pPr>
            <w:r>
              <w:rPr>
                <w:rFonts w:hint="eastAsia" w:ascii="仿宋" w:hAnsi="仿宋" w:eastAsia="仿宋"/>
                <w:highlight w:val="none"/>
                <w:lang w:val="en-US" w:eastAsia="zh-CN"/>
              </w:rPr>
              <w:t>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3454" w:type="dxa"/>
            <w:gridSpan w:val="2"/>
            <w:shd w:val="clear" w:color="auto" w:fill="auto"/>
          </w:tcPr>
          <w:p>
            <w:pPr>
              <w:spacing w:line="276" w:lineRule="auto"/>
              <w:jc w:val="center"/>
              <w:rPr>
                <w:rFonts w:hint="eastAsia" w:ascii="仿宋" w:hAnsi="仿宋" w:eastAsia="仿宋"/>
                <w:b/>
                <w:bCs/>
                <w:highlight w:val="none"/>
              </w:rPr>
            </w:pPr>
            <w:r>
              <w:rPr>
                <w:rFonts w:hint="eastAsia" w:ascii="仿宋" w:hAnsi="仿宋" w:eastAsia="仿宋"/>
                <w:b/>
                <w:bCs/>
                <w:highlight w:val="none"/>
              </w:rPr>
              <w:t>合计</w:t>
            </w:r>
          </w:p>
        </w:tc>
        <w:tc>
          <w:tcPr>
            <w:tcW w:w="1139" w:type="dxa"/>
            <w:shd w:val="clear" w:color="auto" w:fill="auto"/>
          </w:tcPr>
          <w:p>
            <w:pPr>
              <w:spacing w:line="276" w:lineRule="auto"/>
              <w:jc w:val="center"/>
              <w:rPr>
                <w:rFonts w:hint="eastAsia" w:ascii="仿宋" w:hAnsi="仿宋" w:eastAsia="仿宋"/>
                <w:b/>
                <w:bCs/>
                <w:highlight w:val="none"/>
              </w:rPr>
            </w:pPr>
            <w:r>
              <w:rPr>
                <w:rFonts w:hint="eastAsia" w:ascii="仿宋" w:hAnsi="仿宋" w:eastAsia="仿宋"/>
                <w:b/>
                <w:bCs/>
                <w:highlight w:val="none"/>
              </w:rPr>
              <w:t>100</w:t>
            </w:r>
          </w:p>
        </w:tc>
        <w:tc>
          <w:tcPr>
            <w:tcW w:w="1531" w:type="dxa"/>
            <w:shd w:val="clear" w:color="auto" w:fill="auto"/>
          </w:tcPr>
          <w:p>
            <w:pPr>
              <w:spacing w:line="276" w:lineRule="auto"/>
              <w:jc w:val="center"/>
              <w:rPr>
                <w:rFonts w:hint="default" w:ascii="仿宋" w:hAnsi="仿宋" w:eastAsia="仿宋"/>
                <w:b/>
                <w:bCs/>
                <w:highlight w:val="none"/>
                <w:lang w:val="en-US" w:eastAsia="zh-CN"/>
              </w:rPr>
            </w:pPr>
            <w:r>
              <w:rPr>
                <w:rFonts w:hint="eastAsia" w:ascii="仿宋" w:hAnsi="仿宋" w:eastAsia="仿宋"/>
                <w:b/>
                <w:bCs/>
                <w:highlight w:val="none"/>
                <w:lang w:val="en-US" w:eastAsia="zh-CN"/>
              </w:rPr>
              <w:t>92.44</w:t>
            </w:r>
          </w:p>
        </w:tc>
        <w:tc>
          <w:tcPr>
            <w:tcW w:w="1531" w:type="dxa"/>
            <w:shd w:val="clear" w:color="auto" w:fill="auto"/>
          </w:tcPr>
          <w:p>
            <w:pPr>
              <w:spacing w:line="276" w:lineRule="auto"/>
              <w:jc w:val="center"/>
              <w:rPr>
                <w:rFonts w:hint="eastAsia" w:ascii="仿宋" w:hAnsi="仿宋" w:eastAsia="仿宋"/>
                <w:b/>
                <w:bCs/>
                <w:highlight w:val="none"/>
              </w:rPr>
            </w:pPr>
            <w:r>
              <w:rPr>
                <w:rFonts w:hint="eastAsia" w:ascii="仿宋" w:hAnsi="仿宋" w:eastAsia="仿宋"/>
                <w:b/>
                <w:bCs/>
                <w:highlight w:val="none"/>
                <w:lang w:val="en-US" w:eastAsia="zh-CN"/>
              </w:rPr>
              <w:t>92.44</w:t>
            </w:r>
            <w:r>
              <w:rPr>
                <w:rFonts w:hint="eastAsia" w:ascii="仿宋" w:hAnsi="仿宋" w:eastAsia="仿宋"/>
                <w:b/>
                <w:bCs/>
                <w:highlight w:val="none"/>
              </w:rPr>
              <w:t>%</w:t>
            </w:r>
          </w:p>
        </w:tc>
      </w:tr>
    </w:tbl>
    <w:p>
      <w:pPr>
        <w:rPr>
          <w:highlight w:val="none"/>
        </w:rPr>
      </w:pPr>
    </w:p>
    <w:p>
      <w:pPr>
        <w:spacing w:line="520" w:lineRule="exact"/>
        <w:ind w:firstLine="560" w:firstLineChars="200"/>
        <w:rPr>
          <w:rFonts w:hint="eastAsia" w:ascii="仿宋" w:hAnsi="仿宋" w:eastAsia="仿宋" w:cs="宋体"/>
          <w:sz w:val="28"/>
          <w:szCs w:val="28"/>
          <w:highlight w:val="none"/>
        </w:rPr>
      </w:pPr>
      <w:r>
        <w:rPr>
          <w:rFonts w:ascii="仿宋" w:hAnsi="仿宋" w:eastAsia="仿宋" w:cs="宋体"/>
          <w:sz w:val="28"/>
          <w:szCs w:val="28"/>
          <w:highlight w:val="none"/>
        </w:rPr>
        <w:t>评</w:t>
      </w:r>
      <w:r>
        <w:rPr>
          <w:rFonts w:hint="eastAsia" w:ascii="仿宋" w:hAnsi="仿宋" w:eastAsia="仿宋" w:cs="宋体"/>
          <w:sz w:val="28"/>
          <w:szCs w:val="28"/>
          <w:highlight w:val="none"/>
        </w:rPr>
        <w:t>价</w:t>
      </w:r>
      <w:r>
        <w:rPr>
          <w:rFonts w:ascii="仿宋" w:hAnsi="仿宋" w:eastAsia="仿宋" w:cs="宋体"/>
          <w:sz w:val="28"/>
          <w:szCs w:val="28"/>
          <w:highlight w:val="none"/>
        </w:rPr>
        <w:t>结果：</w:t>
      </w:r>
      <w:r>
        <w:rPr>
          <w:rFonts w:hint="eastAsia" w:ascii="仿宋" w:hAnsi="仿宋" w:eastAsia="仿宋" w:cs="宋体"/>
          <w:sz w:val="28"/>
          <w:szCs w:val="28"/>
          <w:highlight w:val="none"/>
          <w:lang w:eastAsia="zh-CN"/>
        </w:rPr>
        <w:t>2023年度福州市仓山区环境卫生中心道路清扫经费项目支出</w:t>
      </w:r>
      <w:r>
        <w:rPr>
          <w:rFonts w:hint="eastAsia" w:ascii="仿宋" w:hAnsi="仿宋" w:eastAsia="仿宋" w:cs="宋体"/>
          <w:sz w:val="28"/>
          <w:szCs w:val="28"/>
          <w:highlight w:val="none"/>
        </w:rPr>
        <w:t>绩效评价综合得分为</w:t>
      </w:r>
      <w:r>
        <w:rPr>
          <w:rFonts w:hint="eastAsia" w:ascii="仿宋" w:hAnsi="仿宋" w:eastAsia="仿宋" w:cs="宋体"/>
          <w:sz w:val="28"/>
          <w:szCs w:val="28"/>
          <w:highlight w:val="none"/>
          <w:lang w:val="en-US" w:eastAsia="zh-CN"/>
        </w:rPr>
        <w:t>92.44</w:t>
      </w:r>
      <w:r>
        <w:rPr>
          <w:rFonts w:hint="eastAsia" w:ascii="仿宋" w:hAnsi="仿宋" w:eastAsia="仿宋" w:cs="宋体"/>
          <w:sz w:val="28"/>
          <w:szCs w:val="28"/>
          <w:highlight w:val="none"/>
        </w:rPr>
        <w:t>分，</w:t>
      </w:r>
      <w:r>
        <w:rPr>
          <w:rFonts w:ascii="仿宋" w:hAnsi="仿宋" w:eastAsia="仿宋" w:cs="宋体"/>
          <w:sz w:val="28"/>
          <w:szCs w:val="28"/>
          <w:highlight w:val="none"/>
        </w:rPr>
        <w:t>项目绩效评价等级为</w:t>
      </w:r>
      <w:r>
        <w:rPr>
          <w:rFonts w:hint="eastAsia" w:ascii="仿宋" w:hAnsi="仿宋" w:eastAsia="仿宋" w:cs="宋体"/>
          <w:sz w:val="28"/>
          <w:szCs w:val="28"/>
          <w:highlight w:val="none"/>
        </w:rPr>
        <w:t>“优”。</w:t>
      </w:r>
    </w:p>
    <w:p>
      <w:pPr>
        <w:spacing w:line="520" w:lineRule="exact"/>
        <w:ind w:firstLine="560" w:firstLineChars="200"/>
        <w:outlineLvl w:val="0"/>
        <w:rPr>
          <w:rFonts w:hint="eastAsia" w:ascii="黑体" w:hAnsi="黑体" w:eastAsia="黑体" w:cs="黑体"/>
          <w:snapToGrid/>
          <w:sz w:val="28"/>
          <w:szCs w:val="28"/>
        </w:rPr>
      </w:pPr>
      <w:bookmarkStart w:id="68" w:name="_Toc26515"/>
      <w:bookmarkStart w:id="69" w:name="_Toc108549528"/>
      <w:r>
        <w:rPr>
          <w:rFonts w:hint="eastAsia" w:ascii="黑体" w:hAnsi="黑体" w:eastAsia="黑体" w:cs="黑体"/>
          <w:snapToGrid/>
          <w:sz w:val="28"/>
          <w:szCs w:val="28"/>
        </w:rPr>
        <w:t>四、绩效评价指标分析</w:t>
      </w:r>
      <w:bookmarkEnd w:id="68"/>
      <w:bookmarkEnd w:id="69"/>
    </w:p>
    <w:p>
      <w:pPr>
        <w:spacing w:line="520" w:lineRule="exact"/>
        <w:ind w:firstLine="560" w:firstLineChars="200"/>
        <w:outlineLvl w:val="1"/>
        <w:rPr>
          <w:rFonts w:hint="eastAsia" w:ascii="楷体" w:hAnsi="楷体" w:eastAsia="楷体" w:cs="楷体"/>
          <w:snapToGrid/>
          <w:sz w:val="28"/>
          <w:szCs w:val="28"/>
        </w:rPr>
      </w:pPr>
      <w:bookmarkStart w:id="70" w:name="_Toc108549529"/>
      <w:bookmarkStart w:id="71" w:name="_Toc2915"/>
      <w:bookmarkStart w:id="72" w:name="_Toc108549531"/>
      <w:bookmarkStart w:id="73" w:name="_Toc108549538"/>
      <w:bookmarkStart w:id="74" w:name="_Toc494295258"/>
      <w:r>
        <w:rPr>
          <w:rFonts w:hint="eastAsia" w:ascii="楷体" w:hAnsi="楷体" w:eastAsia="楷体" w:cs="楷体"/>
          <w:snapToGrid/>
          <w:sz w:val="28"/>
          <w:szCs w:val="28"/>
        </w:rPr>
        <w:t>（一）项目决策情况（满分</w:t>
      </w:r>
      <w:r>
        <w:rPr>
          <w:rFonts w:ascii="楷体" w:hAnsi="楷体" w:eastAsia="楷体" w:cs="楷体"/>
          <w:snapToGrid/>
          <w:sz w:val="28"/>
          <w:szCs w:val="28"/>
        </w:rPr>
        <w:t>20</w:t>
      </w:r>
      <w:r>
        <w:rPr>
          <w:rFonts w:hint="eastAsia" w:ascii="楷体" w:hAnsi="楷体" w:eastAsia="楷体" w:cs="楷体"/>
          <w:snapToGrid/>
          <w:sz w:val="28"/>
          <w:szCs w:val="28"/>
        </w:rPr>
        <w:t>分，得分18分）</w:t>
      </w:r>
      <w:bookmarkEnd w:id="70"/>
      <w:bookmarkEnd w:id="71"/>
    </w:p>
    <w:p>
      <w:pPr>
        <w:pStyle w:val="15"/>
        <w:adjustRightInd w:val="0"/>
        <w:snapToGrid w:val="0"/>
        <w:spacing w:line="520" w:lineRule="exact"/>
        <w:ind w:firstLine="562" w:firstLineChars="200"/>
        <w:outlineLvl w:val="9"/>
        <w:rPr>
          <w:rFonts w:hint="eastAsia" w:ascii="仿宋" w:hAnsi="仿宋" w:eastAsia="仿宋" w:cs="宋体"/>
          <w:b/>
          <w:bCs/>
          <w:szCs w:val="28"/>
        </w:rPr>
      </w:pPr>
      <w:r>
        <w:rPr>
          <w:rFonts w:hint="eastAsia" w:ascii="仿宋" w:hAnsi="仿宋" w:eastAsia="仿宋" w:cs="宋体"/>
          <w:b/>
          <w:bCs/>
          <w:szCs w:val="28"/>
        </w:rPr>
        <w:t>1.项目立项（满分6分，得分6分）</w:t>
      </w:r>
    </w:p>
    <w:p>
      <w:pPr>
        <w:pStyle w:val="15"/>
        <w:adjustRightInd w:val="0"/>
        <w:snapToGrid w:val="0"/>
        <w:spacing w:line="520" w:lineRule="exact"/>
        <w:ind w:firstLine="562" w:firstLineChars="200"/>
        <w:outlineLvl w:val="9"/>
        <w:rPr>
          <w:rFonts w:hint="eastAsia" w:ascii="仿宋" w:hAnsi="仿宋" w:eastAsia="仿宋" w:cs="Calibri"/>
          <w:b/>
          <w:bCs/>
          <w:szCs w:val="28"/>
        </w:rPr>
      </w:pPr>
      <w:r>
        <w:rPr>
          <w:rFonts w:hint="eastAsia" w:ascii="仿宋" w:hAnsi="仿宋" w:eastAsia="仿宋" w:cs="Calibri"/>
          <w:b/>
          <w:bCs/>
          <w:szCs w:val="28"/>
        </w:rPr>
        <w:t>（1）立项依据充分性（得分3分）</w:t>
      </w:r>
    </w:p>
    <w:p>
      <w:pPr>
        <w:pStyle w:val="15"/>
        <w:adjustRightInd w:val="0"/>
        <w:snapToGrid w:val="0"/>
        <w:spacing w:line="520" w:lineRule="exact"/>
        <w:rPr>
          <w:rFonts w:hint="eastAsia" w:ascii="仿宋" w:hAnsi="仿宋" w:eastAsia="仿宋" w:cs="宋体"/>
          <w:szCs w:val="28"/>
        </w:rPr>
      </w:pPr>
      <w:r>
        <w:rPr>
          <w:rFonts w:hint="eastAsia" w:ascii="仿宋" w:hAnsi="仿宋" w:eastAsia="仿宋" w:cs="宋体"/>
          <w:szCs w:val="28"/>
        </w:rPr>
        <w:t>立项依据充分性指标主要评价项目立项是否符合法律法规、相关政策、乡村振兴战略要求和部门职责，用以反映和考核项目立项依据情况。</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提供的佐证材料，项目立项是依据福州市人民政府办公厅文件办理告知单</w:t>
      </w:r>
      <w:r>
        <w:rPr>
          <w:rFonts w:hint="eastAsia" w:ascii="仿宋" w:hAnsi="仿宋" w:eastAsia="仿宋" w:cs="宋体"/>
          <w:sz w:val="28"/>
          <w:szCs w:val="28"/>
          <w:lang w:eastAsia="zh-CN"/>
        </w:rPr>
        <w:t>、《福州市人民政府办公厅关于转发福州市道路清扫保洁经费提升方案、市场化运作招标导则(试行)和质量标准与检查考核导则(试行)的通知》（榕政办〔2016〕248号）、《福州市城市管理委员会关于道路清扫保洁招标代理抽选库更正的通知》（榕城管委函〔2018〕186号）、</w:t>
      </w:r>
      <w:r>
        <w:rPr>
          <w:rFonts w:hint="eastAsia" w:ascii="仿宋" w:hAnsi="仿宋" w:eastAsia="仿宋" w:cs="宋体"/>
          <w:sz w:val="28"/>
          <w:szCs w:val="28"/>
        </w:rPr>
        <w:t>福州市仓山区人民政府办公室</w:t>
      </w:r>
      <w:r>
        <w:rPr>
          <w:rFonts w:hint="eastAsia" w:ascii="仿宋" w:hAnsi="仿宋" w:eastAsia="仿宋" w:cs="宋体"/>
          <w:sz w:val="28"/>
          <w:szCs w:val="28"/>
          <w:lang w:eastAsia="zh-CN"/>
        </w:rPr>
        <w:t>《关于变更“三位一体”环卫作业服务市场化经费拨付模式的通知》（仓政办〔2017〕100号）</w:t>
      </w:r>
      <w:r>
        <w:rPr>
          <w:rFonts w:hint="eastAsia" w:ascii="仿宋" w:hAnsi="仿宋" w:eastAsia="仿宋" w:cs="宋体"/>
          <w:sz w:val="28"/>
          <w:szCs w:val="28"/>
        </w:rPr>
        <w:t>等政策文件。该项目</w:t>
      </w:r>
      <w:r>
        <w:rPr>
          <w:rFonts w:hint="eastAsia" w:ascii="仿宋" w:hAnsi="仿宋" w:eastAsia="仿宋" w:cs="宋体"/>
          <w:sz w:val="28"/>
          <w:szCs w:val="28"/>
          <w:lang w:eastAsia="zh-CN"/>
        </w:rPr>
        <w:t>符合国家法律法规、国民经济发展规划和相关政策</w:t>
      </w:r>
      <w:r>
        <w:rPr>
          <w:rFonts w:hint="eastAsia" w:ascii="仿宋" w:hAnsi="仿宋" w:eastAsia="仿宋" w:cs="宋体"/>
          <w:sz w:val="28"/>
          <w:szCs w:val="28"/>
        </w:rPr>
        <w:t>，项目的立项依据充分。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根据指标体系评分标准，此项指标绩效评价得分为3分。</w:t>
      </w:r>
    </w:p>
    <w:p>
      <w:pPr>
        <w:pStyle w:val="15"/>
        <w:adjustRightInd w:val="0"/>
        <w:snapToGrid w:val="0"/>
        <w:spacing w:line="520" w:lineRule="exact"/>
        <w:ind w:firstLine="562" w:firstLineChars="200"/>
        <w:outlineLvl w:val="9"/>
        <w:rPr>
          <w:rFonts w:hint="eastAsia" w:ascii="仿宋" w:hAnsi="仿宋" w:eastAsia="仿宋" w:cs="Calibri"/>
          <w:b/>
          <w:bCs/>
          <w:szCs w:val="28"/>
        </w:rPr>
      </w:pPr>
      <w:r>
        <w:rPr>
          <w:rFonts w:hint="eastAsia" w:ascii="仿宋" w:hAnsi="仿宋" w:eastAsia="仿宋" w:cs="Calibri"/>
          <w:b/>
          <w:bCs/>
          <w:szCs w:val="28"/>
        </w:rPr>
        <w:t>（2）立项程序规范性（得分3分）</w:t>
      </w:r>
    </w:p>
    <w:p>
      <w:pPr>
        <w:pStyle w:val="15"/>
        <w:adjustRightInd w:val="0"/>
        <w:snapToGrid w:val="0"/>
        <w:spacing w:line="520" w:lineRule="exact"/>
        <w:rPr>
          <w:rFonts w:hint="eastAsia" w:ascii="仿宋" w:hAnsi="仿宋" w:eastAsia="仿宋" w:cs="宋体"/>
          <w:szCs w:val="28"/>
        </w:rPr>
      </w:pPr>
      <w:r>
        <w:rPr>
          <w:rFonts w:hint="eastAsia" w:ascii="仿宋" w:hAnsi="仿宋" w:eastAsia="仿宋" w:cs="宋体"/>
          <w:szCs w:val="28"/>
        </w:rPr>
        <w:t>立项程序规范性指标主要考核项目申请、设立过程是否符合相关要求，用以反映和考核项目立项的规范情况。</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提供的佐证材料，本项目为常年发展性项目</w:t>
      </w:r>
      <w:r>
        <w:rPr>
          <w:rFonts w:hint="eastAsia" w:ascii="仿宋" w:hAnsi="仿宋" w:eastAsia="仿宋" w:cs="宋体"/>
          <w:sz w:val="28"/>
          <w:szCs w:val="28"/>
          <w:lang w:eastAsia="zh-CN"/>
        </w:rPr>
        <w:t>，</w:t>
      </w:r>
      <w:r>
        <w:rPr>
          <w:rFonts w:hint="eastAsia" w:ascii="仿宋" w:hAnsi="仿宋" w:eastAsia="仿宋" w:cs="宋体"/>
          <w:sz w:val="28"/>
          <w:szCs w:val="28"/>
        </w:rPr>
        <w:t>对该</w:t>
      </w:r>
      <w:r>
        <w:rPr>
          <w:rFonts w:hint="eastAsia" w:ascii="仿宋" w:hAnsi="仿宋" w:eastAsia="仿宋" w:cs="宋体"/>
          <w:sz w:val="28"/>
          <w:szCs w:val="28"/>
          <w:lang w:val="en-US" w:eastAsia="zh-CN"/>
        </w:rPr>
        <w:t>项目</w:t>
      </w:r>
      <w:r>
        <w:rPr>
          <w:rFonts w:hint="eastAsia" w:ascii="仿宋" w:hAnsi="仿宋" w:eastAsia="仿宋" w:cs="宋体"/>
          <w:sz w:val="28"/>
          <w:szCs w:val="28"/>
        </w:rPr>
        <w:t>资金制订了</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关于调整拨付环卫中心“道路清扫经费”、“公厕管养经费”、“垃圾收运专项经费”的报告</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仓环综</w:t>
      </w:r>
      <w:r>
        <w:rPr>
          <w:rFonts w:hint="eastAsia" w:ascii="仿宋" w:hAnsi="仿宋" w:eastAsia="仿宋" w:cs="宋体"/>
          <w:sz w:val="28"/>
          <w:szCs w:val="28"/>
          <w:lang w:eastAsia="zh-CN"/>
        </w:rPr>
        <w:t>〔20</w:t>
      </w:r>
      <w:r>
        <w:rPr>
          <w:rFonts w:hint="eastAsia" w:ascii="仿宋" w:hAnsi="仿宋" w:eastAsia="仿宋" w:cs="宋体"/>
          <w:sz w:val="28"/>
          <w:szCs w:val="28"/>
          <w:lang w:val="en-US" w:eastAsia="zh-CN"/>
        </w:rPr>
        <w:t>23</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13号</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仓山区城市管理局关于调整“道路清扫经费”“公厕管养经费”“垃圾收运专项经费”的函</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仓城管函</w:t>
      </w:r>
      <w:r>
        <w:rPr>
          <w:rFonts w:hint="eastAsia" w:ascii="仿宋" w:hAnsi="仿宋" w:eastAsia="仿宋" w:cs="宋体"/>
          <w:sz w:val="28"/>
          <w:szCs w:val="28"/>
          <w:lang w:eastAsia="zh-CN"/>
        </w:rPr>
        <w:t>〔20</w:t>
      </w:r>
      <w:r>
        <w:rPr>
          <w:rFonts w:hint="eastAsia" w:ascii="仿宋" w:hAnsi="仿宋" w:eastAsia="仿宋" w:cs="宋体"/>
          <w:sz w:val="28"/>
          <w:szCs w:val="28"/>
          <w:lang w:val="en-US" w:eastAsia="zh-CN"/>
        </w:rPr>
        <w:t>23</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8号</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仓山区城市管理局关于调整“公厕管养经费”的函</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仓城管函</w:t>
      </w:r>
      <w:r>
        <w:rPr>
          <w:rFonts w:hint="eastAsia" w:ascii="仿宋" w:hAnsi="仿宋" w:eastAsia="仿宋" w:cs="宋体"/>
          <w:sz w:val="28"/>
          <w:szCs w:val="28"/>
          <w:lang w:eastAsia="zh-CN"/>
        </w:rPr>
        <w:t>〔20</w:t>
      </w:r>
      <w:r>
        <w:rPr>
          <w:rFonts w:hint="eastAsia" w:ascii="仿宋" w:hAnsi="仿宋" w:eastAsia="仿宋" w:cs="宋体"/>
          <w:sz w:val="28"/>
          <w:szCs w:val="28"/>
          <w:lang w:val="en-US" w:eastAsia="zh-CN"/>
        </w:rPr>
        <w:t>23</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223号</w:t>
      </w:r>
      <w:r>
        <w:rPr>
          <w:rFonts w:hint="eastAsia" w:ascii="仿宋" w:hAnsi="仿宋" w:eastAsia="仿宋" w:cs="宋体"/>
          <w:sz w:val="28"/>
          <w:szCs w:val="28"/>
          <w:lang w:eastAsia="zh-CN"/>
        </w:rPr>
        <w:t>）</w:t>
      </w:r>
      <w:r>
        <w:rPr>
          <w:rFonts w:hint="eastAsia" w:ascii="仿宋" w:hAnsi="仿宋" w:eastAsia="仿宋" w:cs="宋体"/>
          <w:sz w:val="28"/>
          <w:szCs w:val="28"/>
        </w:rPr>
        <w:t>等相关文件，按照规定的程序申请设立，审批文件、材料符合要求，且事前经过必要的可行性研究、集体决策。</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根据指标体系评分标准，此项指标绩效评价得分为3分。</w:t>
      </w:r>
    </w:p>
    <w:p>
      <w:pPr>
        <w:pStyle w:val="15"/>
        <w:spacing w:line="520" w:lineRule="exact"/>
        <w:ind w:firstLine="562" w:firstLineChars="200"/>
        <w:outlineLvl w:val="9"/>
        <w:rPr>
          <w:rFonts w:hint="eastAsia" w:ascii="仿宋" w:hAnsi="仿宋" w:eastAsia="仿宋" w:cs="Calibri"/>
          <w:b/>
          <w:bCs/>
          <w:szCs w:val="28"/>
        </w:rPr>
      </w:pPr>
      <w:r>
        <w:rPr>
          <w:rFonts w:ascii="仿宋" w:hAnsi="仿宋" w:eastAsia="仿宋" w:cs="Calibri"/>
          <w:b/>
          <w:bCs/>
          <w:szCs w:val="28"/>
        </w:rPr>
        <w:t>2</w:t>
      </w:r>
      <w:r>
        <w:rPr>
          <w:rFonts w:hint="eastAsia" w:ascii="仿宋" w:hAnsi="仿宋" w:eastAsia="仿宋" w:cs="Calibri"/>
          <w:b/>
          <w:bCs/>
          <w:szCs w:val="28"/>
        </w:rPr>
        <w:t>.绩效目标（满分6分，得分6分）</w:t>
      </w:r>
    </w:p>
    <w:p>
      <w:pPr>
        <w:spacing w:line="520" w:lineRule="exact"/>
        <w:ind w:firstLine="562" w:firstLineChars="200"/>
        <w:outlineLvl w:val="9"/>
        <w:rPr>
          <w:rFonts w:hint="eastAsia" w:ascii="仿宋" w:hAnsi="仿宋" w:eastAsia="仿宋" w:cs="宋体"/>
          <w:b/>
          <w:bCs/>
          <w:sz w:val="28"/>
          <w:szCs w:val="28"/>
        </w:rPr>
      </w:pPr>
      <w:r>
        <w:rPr>
          <w:rFonts w:hint="eastAsia" w:ascii="仿宋" w:hAnsi="仿宋" w:eastAsia="仿宋" w:cs="宋体"/>
          <w:b/>
          <w:bCs/>
          <w:sz w:val="28"/>
          <w:szCs w:val="28"/>
        </w:rPr>
        <w:t>（</w:t>
      </w:r>
      <w:r>
        <w:rPr>
          <w:rFonts w:ascii="仿宋" w:hAnsi="仿宋" w:eastAsia="仿宋" w:cs="宋体"/>
          <w:b/>
          <w:bCs/>
          <w:sz w:val="28"/>
          <w:szCs w:val="28"/>
        </w:rPr>
        <w:t>1</w:t>
      </w:r>
      <w:r>
        <w:rPr>
          <w:rFonts w:hint="eastAsia" w:ascii="仿宋" w:hAnsi="仿宋" w:eastAsia="仿宋" w:cs="宋体"/>
          <w:b/>
          <w:bCs/>
          <w:sz w:val="28"/>
          <w:szCs w:val="28"/>
        </w:rPr>
        <w:t>）绩效目标合理性（得分3分）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绩效目标合理性指标主要考核项目所设定的绩效目标是否依据充分、是否符合客观实际，用以反映和考核项目绩效目标与项目实施的相符情况。</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提供的佐证材料，2023年</w:t>
      </w:r>
      <w:r>
        <w:rPr>
          <w:rFonts w:hint="eastAsia" w:ascii="仿宋" w:hAnsi="仿宋" w:eastAsia="仿宋" w:cs="宋体"/>
          <w:sz w:val="28"/>
          <w:szCs w:val="28"/>
          <w:lang w:eastAsia="zh-CN"/>
        </w:rPr>
        <w:t>福州市仓山区环境卫生中心道路清扫经费资金</w:t>
      </w:r>
      <w:r>
        <w:rPr>
          <w:rFonts w:hint="eastAsia" w:ascii="仿宋" w:hAnsi="仿宋" w:eastAsia="仿宋" w:cs="宋体"/>
          <w:sz w:val="28"/>
          <w:szCs w:val="28"/>
        </w:rPr>
        <w:t>按要求编制绩效目标表，并做了绩效自评。目标符合国家相关法律法规和国民经济发展规划。项目目标设定依据充分。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根据指标体系评分标准，此项指标绩效评价得分为3分。</w:t>
      </w:r>
    </w:p>
    <w:p>
      <w:pPr>
        <w:spacing w:line="520" w:lineRule="exact"/>
        <w:ind w:firstLine="562" w:firstLineChars="200"/>
        <w:outlineLvl w:val="9"/>
        <w:rPr>
          <w:rFonts w:hint="eastAsia" w:ascii="仿宋" w:hAnsi="仿宋" w:eastAsia="仿宋" w:cs="宋体"/>
          <w:b/>
          <w:bCs/>
          <w:sz w:val="28"/>
          <w:szCs w:val="28"/>
        </w:rPr>
      </w:pPr>
      <w:r>
        <w:rPr>
          <w:rFonts w:hint="eastAsia" w:ascii="仿宋" w:hAnsi="仿宋" w:eastAsia="仿宋" w:cs="Calibri"/>
          <w:b/>
          <w:bCs/>
          <w:sz w:val="28"/>
          <w:szCs w:val="28"/>
        </w:rPr>
        <w:t>（</w:t>
      </w:r>
      <w:r>
        <w:rPr>
          <w:rFonts w:ascii="仿宋" w:hAnsi="仿宋" w:eastAsia="仿宋" w:cs="Calibri"/>
          <w:b/>
          <w:bCs/>
          <w:sz w:val="28"/>
          <w:szCs w:val="28"/>
        </w:rPr>
        <w:t>2</w:t>
      </w:r>
      <w:r>
        <w:rPr>
          <w:rFonts w:hint="eastAsia" w:ascii="仿宋" w:hAnsi="仿宋" w:eastAsia="仿宋" w:cs="Calibri"/>
          <w:b/>
          <w:bCs/>
          <w:sz w:val="28"/>
          <w:szCs w:val="28"/>
        </w:rPr>
        <w:t>）</w:t>
      </w:r>
      <w:r>
        <w:rPr>
          <w:rFonts w:hint="eastAsia" w:ascii="仿宋" w:hAnsi="仿宋" w:eastAsia="仿宋" w:cs="宋体"/>
          <w:b/>
          <w:bCs/>
          <w:sz w:val="28"/>
          <w:szCs w:val="28"/>
        </w:rPr>
        <w:t>绩效指标明确性（得分3分）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绩效指标明确性指标主要评价设定的绩效指标是否清晰、细化、可衡量等，用以反映和考核项目绩效目标的明细化情况。</w:t>
      </w:r>
    </w:p>
    <w:p>
      <w:pPr>
        <w:spacing w:line="520" w:lineRule="exact"/>
        <w:ind w:firstLine="560" w:firstLineChars="200"/>
        <w:rPr>
          <w:rFonts w:hint="eastAsia" w:ascii="仿宋" w:hAnsi="仿宋" w:eastAsia="仿宋" w:cs="宋体"/>
          <w:color w:val="FF0000"/>
          <w:sz w:val="28"/>
          <w:szCs w:val="28"/>
        </w:rPr>
      </w:pPr>
      <w:r>
        <w:rPr>
          <w:rFonts w:hint="eastAsia" w:ascii="仿宋" w:hAnsi="仿宋" w:eastAsia="仿宋" w:cs="宋体"/>
          <w:sz w:val="28"/>
          <w:szCs w:val="28"/>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提供的佐证材料，</w:t>
      </w:r>
      <w:r>
        <w:rPr>
          <w:rFonts w:ascii="仿宋" w:hAnsi="仿宋" w:eastAsia="仿宋" w:cs="宋体"/>
          <w:sz w:val="28"/>
          <w:szCs w:val="28"/>
        </w:rPr>
        <w:t>针对本项目填写了绩效目标申报表，</w:t>
      </w:r>
      <w:r>
        <w:rPr>
          <w:rFonts w:ascii="仿宋" w:hAnsi="仿宋" w:eastAsia="仿宋" w:cs="宋体"/>
          <w:sz w:val="28"/>
          <w:szCs w:val="28"/>
          <w:highlight w:val="none"/>
        </w:rPr>
        <w:t>并设置了产出数量、产出质量、产出时效、产出成本、社会效益、经济效益、生态效益、可持续影响、满意度等绩效指标，</w:t>
      </w:r>
      <w:r>
        <w:rPr>
          <w:rFonts w:ascii="仿宋" w:hAnsi="仿宋" w:eastAsia="仿宋" w:cs="宋体"/>
          <w:sz w:val="28"/>
          <w:szCs w:val="28"/>
        </w:rPr>
        <w:t>与目标任务数相对应，</w:t>
      </w:r>
      <w:r>
        <w:rPr>
          <w:rFonts w:ascii="仿宋" w:hAnsi="仿宋" w:eastAsia="仿宋" w:cs="宋体"/>
          <w:color w:val="FF0000"/>
          <w:sz w:val="28"/>
          <w:szCs w:val="28"/>
        </w:rPr>
        <w:t xml:space="preserve"> </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根据指标体系评分标准，绩效评价得分为3分。</w:t>
      </w:r>
    </w:p>
    <w:p>
      <w:pPr>
        <w:pStyle w:val="15"/>
        <w:numPr>
          <w:ilvl w:val="0"/>
          <w:numId w:val="0"/>
        </w:numPr>
        <w:spacing w:line="520" w:lineRule="exact"/>
        <w:ind w:left="0" w:leftChars="0" w:firstLine="562" w:firstLineChars="200"/>
        <w:outlineLvl w:val="9"/>
        <w:rPr>
          <w:rFonts w:hint="eastAsia" w:ascii="仿宋" w:hAnsi="仿宋" w:eastAsia="仿宋" w:cs="宋体"/>
          <w:b/>
          <w:bCs/>
          <w:szCs w:val="28"/>
        </w:rPr>
      </w:pPr>
      <w:r>
        <w:rPr>
          <w:rFonts w:hint="eastAsia" w:ascii="仿宋" w:hAnsi="仿宋" w:eastAsia="仿宋" w:cs="宋体"/>
          <w:b/>
          <w:bCs/>
          <w:snapToGrid/>
          <w:color w:val="auto"/>
          <w:kern w:val="2"/>
          <w:sz w:val="28"/>
          <w:szCs w:val="28"/>
          <w:lang w:val="en-US" w:eastAsia="zh-CN" w:bidi="ar-SA"/>
        </w:rPr>
        <w:t>3．</w:t>
      </w:r>
      <w:r>
        <w:rPr>
          <w:rFonts w:hint="eastAsia" w:ascii="仿宋" w:hAnsi="仿宋" w:eastAsia="仿宋" w:cs="宋体"/>
          <w:b/>
          <w:bCs/>
          <w:szCs w:val="28"/>
        </w:rPr>
        <w:t>资金投入（满分8分，得分6分）</w:t>
      </w:r>
    </w:p>
    <w:p>
      <w:pPr>
        <w:pStyle w:val="15"/>
        <w:numPr>
          <w:ilvl w:val="0"/>
          <w:numId w:val="0"/>
        </w:numPr>
        <w:spacing w:line="520" w:lineRule="exact"/>
        <w:ind w:left="0" w:leftChars="0" w:firstLine="562" w:firstLineChars="200"/>
        <w:outlineLvl w:val="9"/>
        <w:rPr>
          <w:rFonts w:hint="eastAsia" w:ascii="仿宋" w:hAnsi="仿宋" w:eastAsia="仿宋" w:cs="宋体"/>
          <w:b/>
          <w:bCs/>
          <w:sz w:val="28"/>
          <w:szCs w:val="28"/>
        </w:rPr>
      </w:pPr>
      <w:r>
        <w:rPr>
          <w:rFonts w:hint="eastAsia" w:ascii="仿宋" w:hAnsi="仿宋" w:eastAsia="仿宋" w:cs="Calibri"/>
          <w:b/>
          <w:bCs/>
          <w:sz w:val="28"/>
          <w:szCs w:val="28"/>
        </w:rPr>
        <w:t>（1）预算编制科学性</w:t>
      </w:r>
      <w:r>
        <w:rPr>
          <w:rFonts w:hint="eastAsia" w:ascii="仿宋" w:hAnsi="仿宋" w:eastAsia="仿宋" w:cs="宋体"/>
          <w:b/>
          <w:bCs/>
          <w:sz w:val="28"/>
          <w:szCs w:val="28"/>
        </w:rPr>
        <w:t>（得分2分）</w:t>
      </w:r>
    </w:p>
    <w:p>
      <w:pPr>
        <w:pStyle w:val="15"/>
        <w:numPr>
          <w:ilvl w:val="0"/>
          <w:numId w:val="0"/>
        </w:numPr>
        <w:spacing w:line="520" w:lineRule="exact"/>
        <w:ind w:firstLine="560" w:firstLineChars="200"/>
        <w:rPr>
          <w:rFonts w:hint="eastAsia" w:ascii="仿宋" w:hAnsi="仿宋" w:eastAsia="仿宋" w:cs="宋体"/>
          <w:b/>
          <w:bCs/>
          <w:sz w:val="28"/>
          <w:szCs w:val="28"/>
        </w:rPr>
      </w:pPr>
      <w:r>
        <w:rPr>
          <w:rFonts w:hint="eastAsia" w:ascii="仿宋" w:hAnsi="仿宋" w:eastAsia="仿宋" w:cs="宋体"/>
          <w:sz w:val="28"/>
          <w:szCs w:val="28"/>
        </w:rPr>
        <w:t>预算编制科学性主要评价项目预算编制是否经过科学论证、有明确标准，资金额度与年度目标是否相适应，用以反映和考核项目预算编制的科学性、合理性情况。</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提供的佐证材料，在评估</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项目预算编制的科学性时，注意到其编制内容总体上与项目的核心方向保持了良好的一致性，然而，在预算额度估算方面尚有提升空间，具体表现为预算数额的精确性有待加强，以及项目资金分配与预期工作任务的契合度存在不足。</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根据指标体系评分标准，此项指标绩效评价得分为2分。</w:t>
      </w:r>
    </w:p>
    <w:p>
      <w:pPr>
        <w:spacing w:line="520" w:lineRule="exact"/>
        <w:ind w:firstLine="562" w:firstLineChars="200"/>
        <w:outlineLvl w:val="9"/>
        <w:rPr>
          <w:rFonts w:hint="eastAsia" w:ascii="仿宋" w:hAnsi="仿宋" w:eastAsia="仿宋" w:cs="宋体"/>
          <w:b/>
          <w:bCs/>
          <w:sz w:val="28"/>
          <w:szCs w:val="28"/>
        </w:rPr>
      </w:pPr>
      <w:r>
        <w:rPr>
          <w:rFonts w:hint="eastAsia" w:ascii="仿宋" w:hAnsi="仿宋" w:eastAsia="仿宋" w:cs="宋体"/>
          <w:b/>
          <w:bCs/>
          <w:sz w:val="28"/>
          <w:szCs w:val="28"/>
        </w:rPr>
        <w:t>（2）资金分配合理性（得分4分）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资金分配合理性主要评价项目预算资金分配是否有测算依据，与</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lang w:val="en-US" w:eastAsia="zh-CN"/>
        </w:rPr>
        <w:t>道路清扫经费资金项目</w:t>
      </w:r>
      <w:r>
        <w:rPr>
          <w:rFonts w:hint="eastAsia" w:ascii="仿宋" w:hAnsi="仿宋" w:eastAsia="仿宋" w:cs="宋体"/>
          <w:sz w:val="28"/>
          <w:szCs w:val="28"/>
        </w:rPr>
        <w:t>拟安排任务是否相适应，用以反映和考核项目预算资金分配的科学性、合理性情况。</w:t>
      </w:r>
      <w:r>
        <w:rPr>
          <w:rFonts w:ascii="仿宋" w:hAnsi="仿宋" w:eastAsia="仿宋" w:cs="宋体"/>
          <w:sz w:val="28"/>
          <w:szCs w:val="28"/>
        </w:rPr>
        <w:t xml:space="preserve"> </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的佐证材料，2023年度</w:t>
      </w:r>
      <w:r>
        <w:rPr>
          <w:rFonts w:hint="eastAsia" w:ascii="仿宋" w:hAnsi="仿宋" w:eastAsia="仿宋" w:cs="宋体"/>
          <w:sz w:val="28"/>
          <w:szCs w:val="28"/>
          <w:lang w:val="en-US" w:eastAsia="zh-CN"/>
        </w:rPr>
        <w:t>本</w:t>
      </w:r>
      <w:r>
        <w:rPr>
          <w:rFonts w:hint="eastAsia" w:ascii="仿宋" w:hAnsi="仿宋" w:eastAsia="仿宋" w:cs="宋体"/>
          <w:sz w:val="28"/>
          <w:szCs w:val="28"/>
        </w:rPr>
        <w:t>项目</w:t>
      </w:r>
      <w:r>
        <w:rPr>
          <w:rFonts w:hint="eastAsia" w:ascii="仿宋" w:hAnsi="仿宋" w:eastAsia="仿宋" w:cs="宋体"/>
          <w:sz w:val="28"/>
          <w:szCs w:val="28"/>
          <w:lang w:val="en-US" w:eastAsia="zh-CN"/>
        </w:rPr>
        <w:t>是</w:t>
      </w:r>
      <w:r>
        <w:rPr>
          <w:rFonts w:hint="eastAsia" w:ascii="仿宋" w:hAnsi="仿宋" w:eastAsia="仿宋" w:cs="宋体"/>
          <w:sz w:val="28"/>
          <w:szCs w:val="28"/>
        </w:rPr>
        <w:t>结合</w:t>
      </w:r>
      <w:r>
        <w:rPr>
          <w:rFonts w:hint="eastAsia" w:ascii="仿宋" w:hAnsi="仿宋" w:eastAsia="仿宋" w:cs="宋体"/>
          <w:sz w:val="28"/>
          <w:szCs w:val="28"/>
          <w:lang w:val="en-US" w:eastAsia="zh-CN"/>
        </w:rPr>
        <w:t>以前年度资金分配数额</w:t>
      </w:r>
      <w:r>
        <w:rPr>
          <w:rFonts w:hint="eastAsia" w:ascii="仿宋" w:hAnsi="仿宋" w:eastAsia="仿宋" w:cs="宋体"/>
          <w:sz w:val="28"/>
          <w:szCs w:val="28"/>
        </w:rPr>
        <w:t>，资金分配依据充分，分配方式合理，分配数额明确，分配方向符合相关管理办法规定。</w:t>
      </w:r>
    </w:p>
    <w:p>
      <w:pPr>
        <w:spacing w:line="520" w:lineRule="exact"/>
        <w:ind w:firstLine="560" w:firstLineChars="200"/>
        <w:rPr>
          <w:rFonts w:hint="eastAsia" w:ascii="仿宋" w:hAnsi="仿宋" w:eastAsia="仿宋"/>
          <w:sz w:val="28"/>
          <w:szCs w:val="28"/>
        </w:rPr>
      </w:pPr>
      <w:r>
        <w:rPr>
          <w:rFonts w:hint="eastAsia" w:ascii="仿宋" w:hAnsi="仿宋" w:eastAsia="仿宋" w:cs="宋体"/>
          <w:sz w:val="28"/>
          <w:szCs w:val="28"/>
        </w:rPr>
        <w:t>根据指标体系评分标准，此项指标绩效评价得分为4分。</w:t>
      </w:r>
    </w:p>
    <w:p>
      <w:pPr>
        <w:pStyle w:val="15"/>
        <w:spacing w:line="520" w:lineRule="exact"/>
        <w:ind w:firstLine="562"/>
        <w:outlineLvl w:val="1"/>
        <w:rPr>
          <w:rFonts w:hint="eastAsia" w:ascii="楷体" w:hAnsi="楷体" w:eastAsia="楷体" w:cs="楷体"/>
          <w:b/>
          <w:bCs/>
          <w:snapToGrid w:val="0"/>
          <w:kern w:val="0"/>
          <w:szCs w:val="28"/>
        </w:rPr>
      </w:pPr>
      <w:bookmarkStart w:id="75" w:name="_Toc108549530"/>
      <w:bookmarkStart w:id="76" w:name="_Toc13113"/>
      <w:r>
        <w:rPr>
          <w:rFonts w:hint="eastAsia" w:ascii="楷体" w:hAnsi="楷体" w:eastAsia="楷体" w:cs="楷体"/>
          <w:b/>
          <w:bCs/>
          <w:snapToGrid w:val="0"/>
          <w:kern w:val="0"/>
          <w:szCs w:val="28"/>
        </w:rPr>
        <w:t>（二）项目过程情况（满分20分，得分17.</w:t>
      </w:r>
      <w:r>
        <w:rPr>
          <w:rFonts w:hint="eastAsia" w:ascii="楷体" w:hAnsi="楷体" w:eastAsia="楷体" w:cs="楷体"/>
          <w:b/>
          <w:bCs/>
          <w:snapToGrid w:val="0"/>
          <w:kern w:val="0"/>
          <w:szCs w:val="28"/>
          <w:lang w:val="en-US" w:eastAsia="zh-CN"/>
        </w:rPr>
        <w:t>8</w:t>
      </w:r>
      <w:r>
        <w:rPr>
          <w:rFonts w:hint="eastAsia" w:ascii="楷体" w:hAnsi="楷体" w:eastAsia="楷体" w:cs="楷体"/>
          <w:b/>
          <w:bCs/>
          <w:snapToGrid w:val="0"/>
          <w:kern w:val="0"/>
          <w:szCs w:val="28"/>
        </w:rPr>
        <w:t>分）</w:t>
      </w:r>
      <w:bookmarkEnd w:id="75"/>
      <w:bookmarkEnd w:id="76"/>
    </w:p>
    <w:p>
      <w:pPr>
        <w:pStyle w:val="15"/>
        <w:spacing w:line="520" w:lineRule="exact"/>
        <w:ind w:firstLine="562" w:firstLineChars="200"/>
        <w:outlineLvl w:val="9"/>
        <w:rPr>
          <w:rFonts w:hint="eastAsia" w:ascii="仿宋" w:hAnsi="仿宋" w:eastAsia="仿宋" w:cs="宋体"/>
          <w:b/>
          <w:bCs/>
          <w:color w:val="000000"/>
          <w:szCs w:val="28"/>
        </w:rPr>
      </w:pPr>
      <w:r>
        <w:rPr>
          <w:rFonts w:hint="eastAsia" w:ascii="仿宋" w:hAnsi="仿宋" w:eastAsia="仿宋" w:cs="宋体"/>
          <w:b/>
          <w:bCs/>
          <w:color w:val="000000"/>
          <w:szCs w:val="28"/>
        </w:rPr>
        <w:t>1.资金管理（满分10分，得分9.</w:t>
      </w:r>
      <w:r>
        <w:rPr>
          <w:rFonts w:hint="eastAsia" w:ascii="仿宋" w:hAnsi="仿宋" w:eastAsia="仿宋" w:cs="宋体"/>
          <w:b/>
          <w:bCs/>
          <w:color w:val="000000"/>
          <w:szCs w:val="28"/>
          <w:lang w:val="en-US" w:eastAsia="zh-CN"/>
        </w:rPr>
        <w:t>8</w:t>
      </w:r>
      <w:r>
        <w:rPr>
          <w:rFonts w:hint="eastAsia" w:ascii="仿宋" w:hAnsi="仿宋" w:eastAsia="仿宋" w:cs="宋体"/>
          <w:b/>
          <w:bCs/>
          <w:color w:val="000000"/>
          <w:szCs w:val="28"/>
        </w:rPr>
        <w:t>分）</w:t>
      </w:r>
    </w:p>
    <w:p>
      <w:pPr>
        <w:spacing w:line="520" w:lineRule="exact"/>
        <w:ind w:firstLine="562" w:firstLineChars="200"/>
        <w:outlineLvl w:val="9"/>
        <w:rPr>
          <w:rFonts w:hint="eastAsia" w:ascii="仿宋" w:hAnsi="仿宋" w:eastAsia="仿宋" w:cs="Calibri"/>
          <w:b/>
          <w:bCs/>
          <w:sz w:val="28"/>
          <w:szCs w:val="28"/>
        </w:rPr>
      </w:pPr>
      <w:r>
        <w:rPr>
          <w:rFonts w:hint="eastAsia" w:ascii="仿宋" w:hAnsi="仿宋" w:eastAsia="仿宋" w:cs="Calibri"/>
          <w:b/>
          <w:bCs/>
          <w:sz w:val="28"/>
          <w:szCs w:val="28"/>
        </w:rPr>
        <w:t>（1）资金到位率（得分3分）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实际到位资金与预算资金的比率，用以反映和考核资金落实情况对项目实施的总体保障程度。</w:t>
      </w:r>
      <w:r>
        <w:rPr>
          <w:rFonts w:ascii="仿宋" w:hAnsi="仿宋" w:eastAsia="仿宋" w:cs="宋体"/>
          <w:sz w:val="28"/>
          <w:szCs w:val="28"/>
        </w:rPr>
        <w:t>实际到位资金指一定时期（本年度或项目期）内落实到具体项目的资金。</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通过核实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提供的相关佐证材料，2023年</w:t>
      </w:r>
      <w:r>
        <w:rPr>
          <w:rFonts w:hint="eastAsia" w:ascii="仿宋" w:hAnsi="仿宋" w:eastAsia="仿宋" w:cs="宋体"/>
          <w:sz w:val="28"/>
          <w:szCs w:val="28"/>
          <w:lang w:eastAsia="zh-CN"/>
        </w:rPr>
        <w:t>福州市仓山区环境卫生中心道路清扫经费资金项目支出</w:t>
      </w:r>
      <w:r>
        <w:rPr>
          <w:rFonts w:hint="eastAsia" w:ascii="仿宋" w:hAnsi="仿宋" w:eastAsia="仿宋" w:cs="宋体"/>
          <w:sz w:val="28"/>
          <w:szCs w:val="28"/>
        </w:rPr>
        <w:t>预算财政资金</w:t>
      </w:r>
      <w:r>
        <w:rPr>
          <w:rFonts w:hint="eastAsia" w:ascii="仿宋" w:hAnsi="仿宋" w:eastAsia="仿宋" w:cs="宋体"/>
          <w:sz w:val="28"/>
          <w:szCs w:val="28"/>
          <w:lang w:val="en-US" w:eastAsia="zh-CN"/>
        </w:rPr>
        <w:t>1924.00</w:t>
      </w:r>
      <w:r>
        <w:rPr>
          <w:rFonts w:hint="eastAsia" w:ascii="仿宋" w:hAnsi="仿宋" w:eastAsia="仿宋" w:cs="宋体"/>
          <w:sz w:val="28"/>
          <w:szCs w:val="28"/>
        </w:rPr>
        <w:t>万元，2023年实际到位资金</w:t>
      </w:r>
      <w:r>
        <w:rPr>
          <w:rFonts w:hint="eastAsia" w:ascii="仿宋" w:hAnsi="仿宋" w:eastAsia="仿宋" w:cs="宋体"/>
          <w:sz w:val="28"/>
          <w:szCs w:val="28"/>
          <w:lang w:val="en-US" w:eastAsia="zh-CN"/>
        </w:rPr>
        <w:t>1924.00</w:t>
      </w:r>
      <w:r>
        <w:rPr>
          <w:rFonts w:hint="eastAsia" w:ascii="仿宋" w:hAnsi="仿宋" w:eastAsia="仿宋" w:cs="宋体"/>
          <w:sz w:val="28"/>
          <w:szCs w:val="28"/>
        </w:rPr>
        <w:t>万元，资金到位率100%。</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根据指标体系评分标准，此项指标绩效评价得分为3分。</w:t>
      </w:r>
    </w:p>
    <w:p>
      <w:pPr>
        <w:pStyle w:val="15"/>
        <w:spacing w:line="520" w:lineRule="exact"/>
        <w:ind w:firstLine="562" w:firstLineChars="200"/>
        <w:outlineLvl w:val="9"/>
        <w:rPr>
          <w:rFonts w:hint="eastAsia" w:ascii="仿宋" w:hAnsi="仿宋" w:eastAsia="仿宋" w:cs="宋体"/>
          <w:b/>
          <w:bCs/>
          <w:color w:val="000000"/>
          <w:szCs w:val="28"/>
        </w:rPr>
      </w:pPr>
      <w:r>
        <w:rPr>
          <w:rFonts w:hint="eastAsia" w:ascii="仿宋" w:hAnsi="仿宋" w:eastAsia="仿宋" w:cs="宋体"/>
          <w:b/>
          <w:bCs/>
          <w:color w:val="000000"/>
          <w:szCs w:val="28"/>
        </w:rPr>
        <w:t>（</w:t>
      </w:r>
      <w:r>
        <w:rPr>
          <w:rFonts w:ascii="仿宋" w:hAnsi="仿宋" w:eastAsia="仿宋" w:cs="宋体"/>
          <w:b/>
          <w:bCs/>
          <w:color w:val="000000"/>
          <w:szCs w:val="28"/>
        </w:rPr>
        <w:t>2</w:t>
      </w:r>
      <w:r>
        <w:rPr>
          <w:rFonts w:hint="eastAsia" w:ascii="仿宋" w:hAnsi="仿宋" w:eastAsia="仿宋" w:cs="宋体"/>
          <w:b/>
          <w:bCs/>
          <w:color w:val="000000"/>
          <w:szCs w:val="28"/>
        </w:rPr>
        <w:t>）预算执行率（得分2.</w:t>
      </w:r>
      <w:r>
        <w:rPr>
          <w:rFonts w:hint="eastAsia" w:ascii="仿宋" w:hAnsi="仿宋" w:eastAsia="仿宋" w:cs="宋体"/>
          <w:b/>
          <w:bCs/>
          <w:color w:val="000000"/>
          <w:szCs w:val="28"/>
          <w:lang w:val="en-US" w:eastAsia="zh-CN"/>
        </w:rPr>
        <w:t>80</w:t>
      </w:r>
      <w:r>
        <w:rPr>
          <w:rFonts w:hint="eastAsia" w:ascii="仿宋" w:hAnsi="仿宋" w:eastAsia="仿宋" w:cs="宋体"/>
          <w:b/>
          <w:bCs/>
          <w:color w:val="000000"/>
          <w:szCs w:val="28"/>
        </w:rPr>
        <w:t>分）</w:t>
      </w:r>
    </w:p>
    <w:p>
      <w:pPr>
        <w:pStyle w:val="15"/>
        <w:adjustRightInd w:val="0"/>
        <w:snapToGrid w:val="0"/>
        <w:spacing w:line="520" w:lineRule="exact"/>
        <w:outlineLvl w:val="9"/>
        <w:rPr>
          <w:rFonts w:hint="eastAsia" w:ascii="仿宋" w:hAnsi="仿宋" w:eastAsia="仿宋" w:cs="宋体"/>
          <w:szCs w:val="28"/>
        </w:rPr>
      </w:pPr>
      <w:r>
        <w:rPr>
          <w:rFonts w:hint="eastAsia" w:ascii="仿宋" w:hAnsi="仿宋" w:eastAsia="仿宋" w:cs="宋体"/>
          <w:szCs w:val="28"/>
        </w:rPr>
        <w:t>预算执行率指标主要评价项目预算资金是否按照计划执行，用以反映或考核项目预算执行情况。预算执行率=（实际支出资金/实际到位资金）×100%。截止202</w:t>
      </w:r>
      <w:r>
        <w:rPr>
          <w:rFonts w:hint="eastAsia" w:ascii="仿宋" w:hAnsi="仿宋" w:eastAsia="仿宋" w:cs="宋体"/>
          <w:szCs w:val="28"/>
          <w:lang w:val="en-US" w:eastAsia="zh-CN"/>
        </w:rPr>
        <w:t>3</w:t>
      </w:r>
      <w:r>
        <w:rPr>
          <w:rFonts w:hint="eastAsia" w:ascii="仿宋" w:hAnsi="仿宋" w:eastAsia="仿宋" w:cs="宋体"/>
          <w:szCs w:val="28"/>
        </w:rPr>
        <w:t>年</w:t>
      </w:r>
      <w:r>
        <w:rPr>
          <w:rFonts w:hint="eastAsia" w:ascii="仿宋" w:hAnsi="仿宋" w:eastAsia="仿宋" w:cs="宋体"/>
          <w:szCs w:val="28"/>
          <w:lang w:val="en-US" w:eastAsia="zh-CN"/>
        </w:rPr>
        <w:t>12</w:t>
      </w:r>
      <w:r>
        <w:rPr>
          <w:rFonts w:hint="eastAsia" w:ascii="仿宋" w:hAnsi="仿宋" w:eastAsia="仿宋" w:cs="宋体"/>
          <w:szCs w:val="28"/>
        </w:rPr>
        <w:t>月3</w:t>
      </w:r>
      <w:r>
        <w:rPr>
          <w:rFonts w:hint="eastAsia" w:ascii="仿宋" w:hAnsi="仿宋" w:eastAsia="仿宋" w:cs="宋体"/>
          <w:szCs w:val="28"/>
          <w:lang w:val="en-US" w:eastAsia="zh-CN"/>
        </w:rPr>
        <w:t>1</w:t>
      </w:r>
      <w:r>
        <w:rPr>
          <w:rFonts w:hint="eastAsia" w:ascii="仿宋" w:hAnsi="仿宋" w:eastAsia="仿宋" w:cs="宋体"/>
          <w:szCs w:val="28"/>
        </w:rPr>
        <w:t>日，项目实际到位资金</w:t>
      </w:r>
      <w:r>
        <w:rPr>
          <w:rFonts w:hint="eastAsia" w:ascii="仿宋" w:hAnsi="仿宋" w:eastAsia="仿宋" w:cs="宋体"/>
          <w:szCs w:val="28"/>
          <w:lang w:val="en-US" w:eastAsia="zh-CN"/>
        </w:rPr>
        <w:t>1924.00</w:t>
      </w:r>
      <w:r>
        <w:rPr>
          <w:rFonts w:hint="eastAsia" w:ascii="仿宋" w:hAnsi="仿宋" w:eastAsia="仿宋" w:cs="宋体"/>
          <w:szCs w:val="28"/>
        </w:rPr>
        <w:t>万元，实际支出</w:t>
      </w:r>
      <w:r>
        <w:rPr>
          <w:rFonts w:hint="eastAsia" w:ascii="仿宋" w:hAnsi="仿宋" w:eastAsia="仿宋" w:cs="宋体"/>
          <w:szCs w:val="28"/>
          <w:lang w:val="en-US" w:eastAsia="zh-CN"/>
        </w:rPr>
        <w:t>1795.97</w:t>
      </w:r>
      <w:r>
        <w:rPr>
          <w:rFonts w:hint="eastAsia" w:ascii="仿宋" w:hAnsi="仿宋" w:eastAsia="仿宋" w:cs="宋体"/>
          <w:szCs w:val="28"/>
        </w:rPr>
        <w:t>万元，预算执行率为</w:t>
      </w:r>
      <w:r>
        <w:rPr>
          <w:rFonts w:hint="eastAsia" w:ascii="仿宋" w:hAnsi="仿宋" w:eastAsia="仿宋" w:cs="宋体"/>
          <w:szCs w:val="28"/>
          <w:lang w:val="en-US" w:eastAsia="zh-CN"/>
        </w:rPr>
        <w:t>93.35</w:t>
      </w:r>
      <w:r>
        <w:rPr>
          <w:rFonts w:hint="eastAsia" w:ascii="仿宋" w:hAnsi="仿宋" w:eastAsia="仿宋" w:cs="宋体"/>
          <w:szCs w:val="28"/>
        </w:rPr>
        <w:t>%。</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根据指标体系评分标准，此项指标绩效评价得分为2.</w:t>
      </w:r>
      <w:r>
        <w:rPr>
          <w:rFonts w:hint="eastAsia" w:ascii="仿宋" w:hAnsi="仿宋" w:eastAsia="仿宋" w:cs="宋体"/>
          <w:sz w:val="28"/>
          <w:szCs w:val="28"/>
          <w:lang w:val="en-US" w:eastAsia="zh-CN"/>
        </w:rPr>
        <w:t>80</w:t>
      </w:r>
      <w:r>
        <w:rPr>
          <w:rFonts w:hint="eastAsia" w:ascii="仿宋" w:hAnsi="仿宋" w:eastAsia="仿宋" w:cs="宋体"/>
          <w:sz w:val="28"/>
          <w:szCs w:val="28"/>
        </w:rPr>
        <w:t>分。</w:t>
      </w:r>
    </w:p>
    <w:p>
      <w:pPr>
        <w:pStyle w:val="15"/>
        <w:adjustRightInd w:val="0"/>
        <w:snapToGrid w:val="0"/>
        <w:spacing w:line="520" w:lineRule="exact"/>
        <w:ind w:firstLine="562" w:firstLineChars="200"/>
        <w:outlineLvl w:val="9"/>
        <w:rPr>
          <w:rFonts w:hint="eastAsia" w:ascii="仿宋" w:hAnsi="仿宋" w:eastAsia="仿宋" w:cs="宋体"/>
          <w:b/>
          <w:bCs/>
          <w:color w:val="000000"/>
          <w:szCs w:val="28"/>
        </w:rPr>
      </w:pPr>
      <w:r>
        <w:rPr>
          <w:rFonts w:hint="eastAsia" w:ascii="仿宋" w:hAnsi="仿宋" w:eastAsia="仿宋" w:cs="宋体"/>
          <w:b/>
          <w:bCs/>
          <w:color w:val="000000"/>
          <w:szCs w:val="28"/>
        </w:rPr>
        <w:t>（</w:t>
      </w:r>
      <w:r>
        <w:rPr>
          <w:rFonts w:ascii="仿宋" w:hAnsi="仿宋" w:eastAsia="仿宋" w:cs="宋体"/>
          <w:b/>
          <w:bCs/>
          <w:color w:val="000000"/>
          <w:szCs w:val="28"/>
        </w:rPr>
        <w:t>3</w:t>
      </w:r>
      <w:r>
        <w:rPr>
          <w:rFonts w:hint="eastAsia" w:ascii="仿宋" w:hAnsi="仿宋" w:eastAsia="仿宋" w:cs="宋体"/>
          <w:b/>
          <w:bCs/>
          <w:color w:val="000000"/>
          <w:szCs w:val="28"/>
        </w:rPr>
        <w:t>）资金使用合规性（得分4分）</w:t>
      </w:r>
    </w:p>
    <w:p>
      <w:pPr>
        <w:pStyle w:val="15"/>
        <w:adjustRightInd w:val="0"/>
        <w:snapToGrid w:val="0"/>
        <w:spacing w:line="520" w:lineRule="exact"/>
        <w:outlineLvl w:val="9"/>
        <w:rPr>
          <w:rFonts w:hint="eastAsia" w:ascii="仿宋" w:hAnsi="仿宋" w:eastAsia="仿宋" w:cs="宋体"/>
          <w:szCs w:val="28"/>
        </w:rPr>
      </w:pPr>
      <w:r>
        <w:rPr>
          <w:rFonts w:hint="eastAsia" w:ascii="仿宋" w:hAnsi="仿宋" w:eastAsia="仿宋" w:cs="宋体"/>
          <w:szCs w:val="28"/>
        </w:rPr>
        <w:t>资金使用合规性指标主要评价项目资金使用是否符合相关的财务管理制度规定，用以反映和考核项目资金的规范运行情况。</w:t>
      </w:r>
    </w:p>
    <w:p>
      <w:pPr>
        <w:pStyle w:val="15"/>
        <w:adjustRightInd w:val="0"/>
        <w:snapToGrid w:val="0"/>
        <w:spacing w:line="520" w:lineRule="exact"/>
        <w:outlineLvl w:val="9"/>
        <w:rPr>
          <w:rFonts w:hint="eastAsia" w:ascii="仿宋" w:hAnsi="仿宋" w:eastAsia="仿宋" w:cs="宋体"/>
          <w:szCs w:val="28"/>
        </w:rPr>
      </w:pPr>
      <w:r>
        <w:rPr>
          <w:rFonts w:hint="eastAsia" w:ascii="仿宋" w:hAnsi="仿宋" w:eastAsia="仿宋" w:cs="宋体"/>
          <w:szCs w:val="28"/>
        </w:rPr>
        <w:t>根据实地调研核实项目财务运行状况，资金使用符合国家财经法规和财务管理制度以及有关资金管理办法的规定；符合项目预算批复或合同规定的用途；暂未发现资金使用存在截留、挤占、挪用、虚列支出等情况；资金的拨付有完整的审批程序和手续。</w:t>
      </w:r>
    </w:p>
    <w:p>
      <w:pPr>
        <w:pStyle w:val="15"/>
        <w:adjustRightInd w:val="0"/>
        <w:snapToGrid w:val="0"/>
        <w:spacing w:line="520" w:lineRule="exact"/>
        <w:outlineLvl w:val="9"/>
        <w:rPr>
          <w:rFonts w:hint="eastAsia" w:ascii="仿宋" w:hAnsi="仿宋" w:eastAsia="仿宋" w:cs="宋体"/>
          <w:kern w:val="0"/>
          <w:szCs w:val="28"/>
        </w:rPr>
      </w:pPr>
      <w:r>
        <w:rPr>
          <w:rFonts w:hint="eastAsia" w:ascii="仿宋" w:hAnsi="仿宋" w:eastAsia="仿宋" w:cs="宋体"/>
          <w:kern w:val="0"/>
          <w:szCs w:val="28"/>
        </w:rPr>
        <w:t>根据绩效评价指标体系评分标准，</w:t>
      </w:r>
      <w:r>
        <w:rPr>
          <w:rFonts w:hint="eastAsia" w:ascii="仿宋" w:hAnsi="仿宋" w:eastAsia="仿宋" w:cs="宋体"/>
          <w:szCs w:val="28"/>
        </w:rPr>
        <w:t>此项指标</w:t>
      </w:r>
      <w:r>
        <w:rPr>
          <w:rFonts w:hint="eastAsia" w:ascii="仿宋" w:hAnsi="仿宋" w:eastAsia="仿宋" w:cs="宋体"/>
          <w:kern w:val="0"/>
          <w:szCs w:val="28"/>
        </w:rPr>
        <w:t>绩效评价得分为4分。</w:t>
      </w:r>
    </w:p>
    <w:p>
      <w:pPr>
        <w:pStyle w:val="15"/>
        <w:spacing w:line="520" w:lineRule="exact"/>
        <w:ind w:firstLine="562" w:firstLineChars="200"/>
        <w:outlineLvl w:val="9"/>
        <w:rPr>
          <w:rFonts w:hint="eastAsia" w:ascii="仿宋" w:hAnsi="仿宋" w:eastAsia="仿宋" w:cs="宋体"/>
          <w:b/>
          <w:bCs/>
          <w:szCs w:val="28"/>
        </w:rPr>
      </w:pPr>
      <w:r>
        <w:rPr>
          <w:rFonts w:ascii="仿宋" w:hAnsi="仿宋" w:eastAsia="仿宋" w:cs="宋体"/>
          <w:b/>
          <w:bCs/>
          <w:szCs w:val="28"/>
        </w:rPr>
        <w:t>2</w:t>
      </w:r>
      <w:r>
        <w:rPr>
          <w:rFonts w:hint="eastAsia" w:ascii="仿宋" w:hAnsi="仿宋" w:eastAsia="仿宋" w:cs="宋体"/>
          <w:b/>
          <w:bCs/>
          <w:szCs w:val="28"/>
        </w:rPr>
        <w:t>．组织实施（满分10分，得分8分）</w:t>
      </w:r>
    </w:p>
    <w:p>
      <w:pPr>
        <w:spacing w:line="520" w:lineRule="exact"/>
        <w:ind w:firstLine="562" w:firstLineChars="200"/>
        <w:outlineLvl w:val="9"/>
        <w:rPr>
          <w:rFonts w:hint="eastAsia" w:ascii="仿宋" w:hAnsi="仿宋" w:eastAsia="仿宋" w:cs="Calibri"/>
          <w:b/>
          <w:bCs/>
          <w:sz w:val="28"/>
          <w:szCs w:val="28"/>
        </w:rPr>
      </w:pPr>
      <w:r>
        <w:rPr>
          <w:rFonts w:hint="eastAsia" w:ascii="仿宋" w:hAnsi="仿宋" w:eastAsia="仿宋" w:cs="Calibri"/>
          <w:b/>
          <w:bCs/>
          <w:sz w:val="28"/>
          <w:szCs w:val="28"/>
        </w:rPr>
        <w:t>（1）管理制度健全性（得分4分）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管理制度健全性主要评价项目实施单位资金和项目管理制度是否健全，用以反映和考核资金和项目管理制度对项目支出顺利实施的保障情况。</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通过核实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rPr>
        <w:t>提供的相关佐证材料</w:t>
      </w:r>
      <w:r>
        <w:rPr>
          <w:rFonts w:ascii="仿宋" w:hAnsi="仿宋" w:eastAsia="仿宋" w:cs="宋体"/>
          <w:sz w:val="28"/>
          <w:szCs w:val="28"/>
        </w:rPr>
        <w:t>，</w:t>
      </w:r>
      <w:r>
        <w:rPr>
          <w:rFonts w:hint="eastAsia" w:ascii="仿宋" w:hAnsi="仿宋" w:eastAsia="仿宋" w:cs="宋体"/>
          <w:sz w:val="28"/>
          <w:szCs w:val="28"/>
        </w:rPr>
        <w:t>项目制定了</w:t>
      </w:r>
      <w:r>
        <w:rPr>
          <w:rFonts w:hint="eastAsia" w:ascii="仿宋" w:hAnsi="仿宋" w:eastAsia="仿宋" w:cs="宋体"/>
          <w:sz w:val="28"/>
          <w:szCs w:val="28"/>
          <w:lang w:eastAsia="zh-CN"/>
        </w:rPr>
        <w:t>《</w:t>
      </w:r>
      <w:r>
        <w:rPr>
          <w:rFonts w:hint="eastAsia" w:ascii="仿宋" w:hAnsi="仿宋" w:eastAsia="仿宋" w:cs="宋体"/>
          <w:sz w:val="28"/>
          <w:szCs w:val="28"/>
        </w:rPr>
        <w:t>仓山区环卫中心财务管理制度</w:t>
      </w:r>
      <w:r>
        <w:rPr>
          <w:rFonts w:hint="eastAsia" w:ascii="仿宋" w:hAnsi="仿宋" w:eastAsia="仿宋" w:cs="宋体"/>
          <w:sz w:val="28"/>
          <w:szCs w:val="28"/>
          <w:lang w:eastAsia="zh-CN"/>
        </w:rPr>
        <w:t>》《</w:t>
      </w:r>
      <w:r>
        <w:rPr>
          <w:rFonts w:hint="eastAsia" w:ascii="仿宋" w:hAnsi="仿宋" w:eastAsia="仿宋" w:cs="宋体"/>
          <w:sz w:val="28"/>
          <w:szCs w:val="28"/>
        </w:rPr>
        <w:t>福州市人民政府办公厅关于转发福州市道路清扫保洁经费提升方案、市场化运作招标导则(试行)和质量标准与检查考核导则(试行)的通知</w:t>
      </w:r>
      <w:r>
        <w:rPr>
          <w:rFonts w:hint="eastAsia" w:ascii="仿宋" w:hAnsi="仿宋" w:eastAsia="仿宋" w:cs="宋体"/>
          <w:sz w:val="28"/>
          <w:szCs w:val="28"/>
          <w:lang w:eastAsia="zh-CN"/>
        </w:rPr>
        <w:t>》（榕政办〔2016〕248号）、《福州市城市管理委员会关于道路清扫保洁招标代理抽选库更正的通知》（榕城管委函〔2018〕186号）、</w:t>
      </w:r>
      <w:r>
        <w:rPr>
          <w:rFonts w:hint="eastAsia" w:ascii="仿宋" w:hAnsi="仿宋" w:eastAsia="仿宋" w:cs="宋体"/>
          <w:sz w:val="28"/>
          <w:szCs w:val="28"/>
        </w:rPr>
        <w:t>福州市仓山区人民政府办公室</w:t>
      </w:r>
      <w:r>
        <w:rPr>
          <w:rFonts w:hint="eastAsia" w:ascii="仿宋" w:hAnsi="仿宋" w:eastAsia="仿宋" w:cs="宋体"/>
          <w:sz w:val="28"/>
          <w:szCs w:val="28"/>
          <w:lang w:eastAsia="zh-CN"/>
        </w:rPr>
        <w:t>《关于变更“三位一体”环卫作业服务市场化经费拨付模式的通知》（仓政办〔2017〕100号）</w:t>
      </w:r>
      <w:r>
        <w:rPr>
          <w:rFonts w:hint="eastAsia" w:ascii="仿宋" w:hAnsi="仿宋" w:eastAsia="仿宋" w:cs="宋体"/>
          <w:sz w:val="28"/>
          <w:szCs w:val="28"/>
        </w:rPr>
        <w:t>，制度合法、合规且完整；仓山区人民政府办公室关于印发《仓山区环境卫生管理工作制度》的通知</w:t>
      </w:r>
      <w:r>
        <w:rPr>
          <w:rFonts w:hint="eastAsia" w:ascii="仿宋" w:hAnsi="仿宋" w:eastAsia="仿宋" w:cs="宋体"/>
          <w:sz w:val="28"/>
          <w:szCs w:val="28"/>
          <w:lang w:eastAsia="zh-CN"/>
        </w:rPr>
        <w:t>（仓政办〔2017〕214号）、</w:t>
      </w:r>
      <w:r>
        <w:rPr>
          <w:rFonts w:hint="eastAsia" w:ascii="仿宋" w:hAnsi="仿宋" w:eastAsia="仿宋" w:cs="宋体"/>
          <w:sz w:val="28"/>
          <w:szCs w:val="28"/>
        </w:rPr>
        <w:t>福州市仓山区城市管理局</w:t>
      </w:r>
      <w:r>
        <w:rPr>
          <w:rFonts w:hint="eastAsia" w:ascii="仿宋" w:hAnsi="仿宋" w:eastAsia="仿宋" w:cs="宋体"/>
          <w:sz w:val="28"/>
          <w:szCs w:val="28"/>
          <w:lang w:eastAsia="zh-CN"/>
        </w:rPr>
        <w:t>《关于进一步明确环卫督查工作职责的通知》（仓城管综〔2018〕235号）</w:t>
      </w:r>
      <w:r>
        <w:rPr>
          <w:rFonts w:hint="eastAsia" w:ascii="仿宋" w:hAnsi="仿宋" w:eastAsia="仿宋" w:cs="宋体"/>
          <w:sz w:val="28"/>
          <w:szCs w:val="28"/>
        </w:rPr>
        <w:t>，对各项目</w:t>
      </w:r>
      <w:r>
        <w:rPr>
          <w:rFonts w:hint="eastAsia" w:ascii="仿宋" w:hAnsi="仿宋" w:eastAsia="仿宋" w:cs="宋体"/>
          <w:sz w:val="28"/>
          <w:szCs w:val="28"/>
          <w:lang w:val="en-US" w:eastAsia="zh-CN"/>
        </w:rPr>
        <w:t>完成质量</w:t>
      </w:r>
      <w:r>
        <w:rPr>
          <w:rFonts w:hint="eastAsia" w:ascii="仿宋" w:hAnsi="仿宋" w:eastAsia="仿宋" w:cs="宋体"/>
          <w:sz w:val="28"/>
          <w:szCs w:val="28"/>
        </w:rPr>
        <w:t>进行督导、检查，进一步加强</w:t>
      </w:r>
      <w:r>
        <w:rPr>
          <w:rFonts w:hint="eastAsia" w:ascii="仿宋" w:hAnsi="仿宋" w:eastAsia="仿宋" w:cs="宋体"/>
          <w:sz w:val="28"/>
          <w:szCs w:val="28"/>
          <w:lang w:val="en-US" w:eastAsia="zh-CN"/>
        </w:rPr>
        <w:t>道路清扫经费项目</w:t>
      </w:r>
      <w:r>
        <w:rPr>
          <w:rFonts w:hint="eastAsia" w:ascii="仿宋" w:hAnsi="仿宋" w:eastAsia="仿宋" w:cs="宋体"/>
          <w:sz w:val="28"/>
          <w:szCs w:val="28"/>
        </w:rPr>
        <w:t>管理，切实推进仓山区道路清扫保洁、绿化带保洁、公共立面清理、果皮箱管养和市政设施清洗工作。但未针对该项目的预决算管理、合同管理等方面进行细化规定。</w:t>
      </w:r>
    </w:p>
    <w:p>
      <w:pPr>
        <w:pStyle w:val="35"/>
        <w:tabs>
          <w:tab w:val="left" w:pos="4606"/>
        </w:tabs>
        <w:adjustRightInd w:val="0"/>
        <w:snapToGrid w:val="0"/>
        <w:spacing w:before="0" w:beforeAutospacing="0" w:after="0" w:line="520" w:lineRule="exact"/>
        <w:ind w:left="0" w:leftChars="0" w:firstLine="560"/>
        <w:rPr>
          <w:rFonts w:ascii="仿宋" w:hAnsi="仿宋" w:eastAsia="仿宋" w:cs="宋体"/>
          <w:szCs w:val="28"/>
        </w:rPr>
      </w:pPr>
      <w:r>
        <w:rPr>
          <w:rFonts w:ascii="仿宋" w:hAnsi="仿宋" w:eastAsia="仿宋" w:cs="宋体"/>
          <w:szCs w:val="28"/>
        </w:rPr>
        <w:t>根据指标体系评分标准，此项指标绩效评价得分为4分。</w:t>
      </w:r>
    </w:p>
    <w:p>
      <w:pPr>
        <w:spacing w:line="520" w:lineRule="exact"/>
        <w:ind w:firstLine="562" w:firstLineChars="200"/>
        <w:outlineLvl w:val="9"/>
        <w:rPr>
          <w:rFonts w:hint="eastAsia" w:ascii="仿宋" w:hAnsi="仿宋" w:eastAsia="仿宋" w:cs="宋体"/>
          <w:b/>
          <w:bCs/>
          <w:sz w:val="28"/>
          <w:szCs w:val="28"/>
        </w:rPr>
      </w:pPr>
      <w:r>
        <w:rPr>
          <w:rFonts w:hint="eastAsia" w:ascii="仿宋" w:hAnsi="仿宋" w:eastAsia="仿宋" w:cs="Calibri"/>
          <w:b/>
          <w:bCs/>
          <w:sz w:val="28"/>
          <w:szCs w:val="28"/>
        </w:rPr>
        <w:t>（2）</w:t>
      </w:r>
      <w:r>
        <w:rPr>
          <w:rFonts w:hint="eastAsia" w:ascii="仿宋" w:hAnsi="仿宋" w:eastAsia="仿宋" w:cs="宋体"/>
          <w:b/>
          <w:bCs/>
          <w:sz w:val="28"/>
          <w:szCs w:val="28"/>
        </w:rPr>
        <w:t>制度执行有效性</w:t>
      </w:r>
      <w:r>
        <w:rPr>
          <w:rFonts w:hint="eastAsia" w:ascii="仿宋" w:hAnsi="仿宋" w:eastAsia="仿宋" w:cs="宋体"/>
          <w:b/>
          <w:sz w:val="28"/>
          <w:szCs w:val="28"/>
        </w:rPr>
        <w:t>（</w:t>
      </w:r>
      <w:r>
        <w:rPr>
          <w:rFonts w:hint="eastAsia" w:ascii="仿宋" w:hAnsi="仿宋" w:eastAsia="仿宋" w:cs="宋体"/>
          <w:b/>
          <w:bCs/>
          <w:sz w:val="28"/>
          <w:szCs w:val="28"/>
        </w:rPr>
        <w:t>得分</w:t>
      </w:r>
      <w:r>
        <w:rPr>
          <w:rFonts w:hint="eastAsia" w:ascii="仿宋" w:hAnsi="仿宋" w:eastAsia="仿宋" w:cs="宋体"/>
          <w:b/>
          <w:sz w:val="28"/>
          <w:szCs w:val="28"/>
        </w:rPr>
        <w:t>4分）</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制度执行有效性主要评价项目实施是否符合相关管理规定，用以反映和考核相关管理制度的有效执行情况。</w:t>
      </w:r>
    </w:p>
    <w:p>
      <w:pPr>
        <w:spacing w:line="520" w:lineRule="exact"/>
        <w:ind w:firstLine="560" w:firstLineChars="200"/>
        <w:rPr>
          <w:rFonts w:hint="eastAsia" w:ascii="仿宋" w:hAnsi="仿宋" w:eastAsia="仿宋" w:cs="宋体"/>
          <w:sz w:val="28"/>
          <w:szCs w:val="28"/>
          <w:highlight w:val="none"/>
        </w:rPr>
      </w:pPr>
      <w:r>
        <w:rPr>
          <w:rFonts w:hint="eastAsia" w:ascii="仿宋" w:hAnsi="仿宋" w:eastAsia="仿宋" w:cs="宋体"/>
          <w:sz w:val="28"/>
          <w:szCs w:val="28"/>
          <w:highlight w:val="none"/>
        </w:rPr>
        <w:t>根据实地调研及对佐证资料的核实，</w:t>
      </w:r>
      <w:r>
        <w:rPr>
          <w:rFonts w:ascii="仿宋" w:hAnsi="仿宋" w:eastAsia="仿宋" w:cs="宋体"/>
          <w:sz w:val="28"/>
          <w:szCs w:val="28"/>
          <w:highlight w:val="none"/>
        </w:rPr>
        <w:t>各个项目运作时能够遵守相关法律法规和相关管理规定，</w:t>
      </w:r>
      <w:r>
        <w:rPr>
          <w:rFonts w:hint="eastAsia" w:ascii="仿宋" w:hAnsi="仿宋" w:eastAsia="仿宋" w:cs="宋体"/>
          <w:sz w:val="28"/>
          <w:szCs w:val="28"/>
          <w:highlight w:val="none"/>
        </w:rPr>
        <w:t>各项目调整及支出调整手续完备，实施单位委托招标代理机构对创建项目开展了招投标工作，并与中标单位签订合同，相关招标公告、中标公告、成交通知书等资料齐全。</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根据指标体系评分标准，此项指标绩效评价得分为4分。</w:t>
      </w:r>
    </w:p>
    <w:p>
      <w:pPr>
        <w:pStyle w:val="15"/>
        <w:spacing w:line="520" w:lineRule="exact"/>
        <w:ind w:firstLine="562"/>
        <w:outlineLvl w:val="1"/>
        <w:rPr>
          <w:rFonts w:hint="eastAsia" w:ascii="楷体" w:hAnsi="楷体" w:eastAsia="楷体" w:cs="楷体"/>
          <w:b/>
          <w:bCs/>
          <w:snapToGrid w:val="0"/>
          <w:kern w:val="0"/>
          <w:szCs w:val="28"/>
        </w:rPr>
      </w:pPr>
      <w:bookmarkStart w:id="77" w:name="_Toc14675"/>
      <w:r>
        <w:rPr>
          <w:rFonts w:hint="eastAsia" w:ascii="楷体" w:hAnsi="楷体" w:eastAsia="楷体" w:cs="楷体"/>
          <w:b/>
          <w:bCs/>
          <w:snapToGrid w:val="0"/>
          <w:kern w:val="0"/>
          <w:szCs w:val="28"/>
        </w:rPr>
        <w:t>（三）项目产出情况（满分</w:t>
      </w:r>
      <w:r>
        <w:rPr>
          <w:rFonts w:ascii="楷体" w:hAnsi="楷体" w:eastAsia="楷体" w:cs="楷体"/>
          <w:b/>
          <w:bCs/>
          <w:snapToGrid w:val="0"/>
          <w:kern w:val="0"/>
          <w:szCs w:val="28"/>
        </w:rPr>
        <w:t>30</w:t>
      </w:r>
      <w:r>
        <w:rPr>
          <w:rFonts w:hint="eastAsia" w:ascii="楷体" w:hAnsi="楷体" w:eastAsia="楷体" w:cs="楷体"/>
          <w:b/>
          <w:bCs/>
          <w:snapToGrid w:val="0"/>
          <w:kern w:val="0"/>
          <w:szCs w:val="28"/>
        </w:rPr>
        <w:t>分，得分2</w:t>
      </w:r>
      <w:r>
        <w:rPr>
          <w:rFonts w:hint="eastAsia" w:ascii="楷体" w:hAnsi="楷体" w:eastAsia="楷体" w:cs="楷体"/>
          <w:b/>
          <w:bCs/>
          <w:snapToGrid w:val="0"/>
          <w:kern w:val="0"/>
          <w:szCs w:val="28"/>
          <w:lang w:val="en-US" w:eastAsia="zh-CN"/>
        </w:rPr>
        <w:t>9.55</w:t>
      </w:r>
      <w:r>
        <w:rPr>
          <w:rFonts w:hint="eastAsia" w:ascii="楷体" w:hAnsi="楷体" w:eastAsia="楷体" w:cs="楷体"/>
          <w:b/>
          <w:bCs/>
          <w:snapToGrid w:val="0"/>
          <w:kern w:val="0"/>
          <w:szCs w:val="28"/>
        </w:rPr>
        <w:t>分）</w:t>
      </w:r>
      <w:bookmarkEnd w:id="72"/>
      <w:bookmarkEnd w:id="77"/>
    </w:p>
    <w:p>
      <w:pPr>
        <w:pStyle w:val="15"/>
        <w:adjustRightInd w:val="0"/>
        <w:snapToGrid w:val="0"/>
        <w:spacing w:line="520" w:lineRule="exact"/>
        <w:ind w:firstLine="562" w:firstLineChars="200"/>
        <w:outlineLvl w:val="9"/>
        <w:rPr>
          <w:rFonts w:hint="eastAsia" w:ascii="仿宋" w:hAnsi="仿宋" w:eastAsia="仿宋" w:cs="宋体"/>
          <w:b/>
          <w:bCs/>
          <w:szCs w:val="28"/>
        </w:rPr>
      </w:pPr>
      <w:r>
        <w:rPr>
          <w:rFonts w:hint="eastAsia" w:ascii="仿宋" w:hAnsi="仿宋" w:eastAsia="仿宋" w:cs="宋体"/>
          <w:b/>
          <w:bCs/>
          <w:szCs w:val="28"/>
        </w:rPr>
        <w:t>1.产出数量（满分10分，得分</w:t>
      </w:r>
      <w:r>
        <w:rPr>
          <w:rFonts w:hint="eastAsia" w:ascii="仿宋" w:hAnsi="仿宋" w:eastAsia="仿宋" w:cs="宋体"/>
          <w:b/>
          <w:bCs/>
          <w:szCs w:val="28"/>
          <w:lang w:val="en-US" w:eastAsia="zh-CN"/>
        </w:rPr>
        <w:t>9.55</w:t>
      </w:r>
      <w:r>
        <w:rPr>
          <w:rFonts w:hint="eastAsia" w:ascii="仿宋" w:hAnsi="仿宋" w:eastAsia="仿宋" w:cs="宋体"/>
          <w:b/>
          <w:bCs/>
          <w:szCs w:val="28"/>
        </w:rPr>
        <w:t>分）</w:t>
      </w:r>
    </w:p>
    <w:p>
      <w:pPr>
        <w:pStyle w:val="15"/>
        <w:adjustRightInd w:val="0"/>
        <w:snapToGrid w:val="0"/>
        <w:spacing w:line="520" w:lineRule="exact"/>
        <w:ind w:firstLine="562" w:firstLineChars="200"/>
        <w:outlineLvl w:val="9"/>
        <w:rPr>
          <w:rFonts w:hint="eastAsia" w:ascii="仿宋" w:hAnsi="仿宋" w:eastAsia="仿宋" w:cs="宋体"/>
          <w:b/>
          <w:bCs/>
          <w:szCs w:val="28"/>
        </w:rPr>
      </w:pPr>
      <w:r>
        <w:rPr>
          <w:rFonts w:hint="eastAsia" w:ascii="仿宋" w:hAnsi="仿宋" w:eastAsia="仿宋" w:cs="宋体"/>
          <w:b/>
          <w:bCs/>
          <w:color w:val="333333"/>
          <w:kern w:val="0"/>
          <w:szCs w:val="28"/>
        </w:rPr>
        <w:t>（1）全区道路保洁投入环卫机械设备达</w:t>
      </w:r>
      <w:r>
        <w:rPr>
          <w:rFonts w:hint="eastAsia" w:ascii="仿宋" w:hAnsi="仿宋" w:eastAsia="仿宋" w:cs="宋体"/>
          <w:b/>
          <w:bCs/>
          <w:color w:val="333333"/>
          <w:kern w:val="0"/>
          <w:szCs w:val="28"/>
          <w:highlight w:val="none"/>
        </w:rPr>
        <w:t>标率（得分</w:t>
      </w:r>
      <w:r>
        <w:rPr>
          <w:rFonts w:hint="eastAsia" w:ascii="仿宋" w:hAnsi="仿宋" w:eastAsia="仿宋" w:cs="宋体"/>
          <w:b/>
          <w:bCs/>
          <w:color w:val="333333"/>
          <w:kern w:val="0"/>
          <w:szCs w:val="28"/>
          <w:highlight w:val="none"/>
          <w:lang w:val="en-US" w:eastAsia="zh-CN"/>
        </w:rPr>
        <w:t>3.55</w:t>
      </w:r>
      <w:r>
        <w:rPr>
          <w:rFonts w:hint="eastAsia" w:ascii="仿宋" w:hAnsi="仿宋" w:eastAsia="仿宋" w:cs="宋体"/>
          <w:b/>
          <w:bCs/>
          <w:color w:val="333333"/>
          <w:kern w:val="0"/>
          <w:szCs w:val="28"/>
          <w:highlight w:val="none"/>
        </w:rPr>
        <w:t>分）</w:t>
      </w:r>
    </w:p>
    <w:p>
      <w:pPr>
        <w:spacing w:line="520" w:lineRule="exact"/>
        <w:ind w:firstLine="560" w:firstLineChars="200"/>
        <w:textAlignment w:val="center"/>
        <w:rPr>
          <w:rFonts w:hint="eastAsia" w:ascii="仿宋" w:hAnsi="仿宋" w:eastAsia="仿宋" w:cs="宋体"/>
          <w:sz w:val="28"/>
          <w:szCs w:val="28"/>
          <w:lang w:bidi="ar"/>
        </w:rPr>
      </w:pPr>
      <w:r>
        <w:rPr>
          <w:rFonts w:hint="eastAsia" w:ascii="仿宋" w:hAnsi="仿宋" w:eastAsia="仿宋" w:cs="宋体"/>
          <w:sz w:val="28"/>
          <w:szCs w:val="28"/>
          <w:lang w:bidi="ar"/>
        </w:rPr>
        <w:t>根据实地现场勘察及</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lang w:bidi="ar"/>
        </w:rPr>
        <w:t>提供的相关佐证材料，2023年</w:t>
      </w:r>
      <w:r>
        <w:rPr>
          <w:rFonts w:hint="eastAsia" w:ascii="仿宋" w:hAnsi="仿宋" w:eastAsia="仿宋" w:cs="宋体"/>
          <w:sz w:val="28"/>
          <w:szCs w:val="28"/>
          <w:lang w:eastAsia="zh-CN" w:bidi="ar"/>
        </w:rPr>
        <w:t>福州市仓山区环境卫生中心</w:t>
      </w:r>
      <w:r>
        <w:rPr>
          <w:rFonts w:hint="eastAsia" w:ascii="仿宋" w:hAnsi="仿宋" w:eastAsia="仿宋" w:cs="宋体"/>
          <w:sz w:val="28"/>
          <w:szCs w:val="28"/>
          <w:lang w:val="en-US" w:eastAsia="zh-CN" w:bidi="ar"/>
        </w:rPr>
        <w:t>投入环卫机械共计266台</w:t>
      </w:r>
      <w:r>
        <w:rPr>
          <w:rFonts w:hint="eastAsia" w:ascii="仿宋" w:hAnsi="仿宋" w:eastAsia="仿宋" w:cs="宋体"/>
          <w:sz w:val="28"/>
          <w:szCs w:val="28"/>
          <w:lang w:bidi="ar"/>
        </w:rPr>
        <w:t>，</w:t>
      </w:r>
      <w:r>
        <w:rPr>
          <w:rFonts w:hint="eastAsia" w:ascii="仿宋" w:hAnsi="仿宋" w:eastAsia="仿宋" w:cs="宋体"/>
          <w:sz w:val="28"/>
          <w:szCs w:val="28"/>
          <w:lang w:val="en-US" w:eastAsia="zh-CN" w:bidi="ar"/>
        </w:rPr>
        <w:t>小于</w:t>
      </w:r>
      <w:r>
        <w:rPr>
          <w:rFonts w:hint="eastAsia" w:ascii="仿宋" w:hAnsi="仿宋" w:eastAsia="仿宋" w:cs="宋体"/>
          <w:sz w:val="28"/>
          <w:szCs w:val="28"/>
          <w:lang w:bidi="ar"/>
        </w:rPr>
        <w:t>目标值</w:t>
      </w:r>
      <w:r>
        <w:rPr>
          <w:rFonts w:hint="eastAsia" w:ascii="仿宋" w:hAnsi="仿宋" w:eastAsia="仿宋" w:cs="宋体"/>
          <w:sz w:val="28"/>
          <w:szCs w:val="28"/>
          <w:lang w:val="en-US" w:eastAsia="zh-CN" w:bidi="ar"/>
        </w:rPr>
        <w:t>300台</w:t>
      </w:r>
      <w:r>
        <w:rPr>
          <w:rFonts w:hint="eastAsia" w:ascii="仿宋" w:hAnsi="仿宋" w:eastAsia="仿宋" w:cs="宋体"/>
          <w:sz w:val="28"/>
          <w:szCs w:val="28"/>
          <w:lang w:bidi="ar"/>
        </w:rPr>
        <w:t>，达标率为</w:t>
      </w:r>
      <w:r>
        <w:rPr>
          <w:rFonts w:hint="eastAsia" w:ascii="仿宋" w:hAnsi="仿宋" w:eastAsia="仿宋" w:cs="宋体"/>
          <w:sz w:val="28"/>
          <w:szCs w:val="28"/>
          <w:lang w:val="en-US" w:eastAsia="zh-CN" w:bidi="ar"/>
        </w:rPr>
        <w:t>88.67</w:t>
      </w:r>
      <w:r>
        <w:rPr>
          <w:rFonts w:hint="eastAsia" w:ascii="仿宋" w:hAnsi="仿宋" w:eastAsia="仿宋" w:cs="宋体"/>
          <w:sz w:val="28"/>
          <w:szCs w:val="28"/>
          <w:lang w:bidi="ar"/>
        </w:rPr>
        <w:t>%。</w:t>
      </w:r>
    </w:p>
    <w:p>
      <w:pPr>
        <w:spacing w:line="520" w:lineRule="exact"/>
        <w:ind w:firstLine="560" w:firstLineChars="200"/>
        <w:rPr>
          <w:rFonts w:hint="eastAsia" w:ascii="仿宋" w:hAnsi="仿宋" w:eastAsia="仿宋" w:cs="宋体"/>
          <w:color w:val="333333"/>
          <w:sz w:val="28"/>
          <w:szCs w:val="28"/>
        </w:rPr>
      </w:pPr>
      <w:r>
        <w:rPr>
          <w:rFonts w:hint="eastAsia" w:ascii="仿宋" w:hAnsi="仿宋" w:eastAsia="仿宋" w:cs="宋体"/>
          <w:sz w:val="28"/>
          <w:szCs w:val="28"/>
        </w:rPr>
        <w:t>根据指标</w:t>
      </w:r>
      <w:r>
        <w:rPr>
          <w:rFonts w:hint="eastAsia" w:ascii="仿宋" w:hAnsi="仿宋" w:eastAsia="仿宋" w:cs="宋体"/>
          <w:color w:val="333333"/>
          <w:sz w:val="28"/>
          <w:szCs w:val="28"/>
        </w:rPr>
        <w:t>体系评分标准，此项指标绩效评价得分为</w:t>
      </w:r>
      <w:r>
        <w:rPr>
          <w:rFonts w:hint="eastAsia" w:ascii="仿宋" w:hAnsi="仿宋" w:eastAsia="仿宋" w:cs="宋体"/>
          <w:color w:val="333333"/>
          <w:sz w:val="28"/>
          <w:szCs w:val="28"/>
          <w:highlight w:val="none"/>
          <w:lang w:val="en-US" w:eastAsia="zh-CN"/>
        </w:rPr>
        <w:t>3.55</w:t>
      </w:r>
      <w:r>
        <w:rPr>
          <w:rFonts w:hint="eastAsia" w:ascii="仿宋" w:hAnsi="仿宋" w:eastAsia="仿宋" w:cs="宋体"/>
          <w:color w:val="333333"/>
          <w:sz w:val="28"/>
          <w:szCs w:val="28"/>
        </w:rPr>
        <w:t>分。</w:t>
      </w:r>
    </w:p>
    <w:p>
      <w:pPr>
        <w:shd w:val="clear" w:color="auto" w:fill="FFFFFF"/>
        <w:spacing w:line="520" w:lineRule="exact"/>
        <w:ind w:firstLine="482" w:firstLineChars="0"/>
        <w:outlineLvl w:val="9"/>
        <w:rPr>
          <w:rFonts w:hint="eastAsia" w:ascii="仿宋" w:hAnsi="仿宋" w:eastAsia="仿宋" w:cs="宋体"/>
          <w:b/>
          <w:bCs/>
          <w:color w:val="333333"/>
          <w:sz w:val="28"/>
          <w:szCs w:val="28"/>
        </w:rPr>
      </w:pPr>
      <w:r>
        <w:rPr>
          <w:rFonts w:hint="eastAsia" w:ascii="仿宋" w:hAnsi="仿宋" w:eastAsia="仿宋" w:cs="宋体"/>
          <w:b/>
          <w:bCs/>
          <w:color w:val="333333"/>
          <w:sz w:val="28"/>
          <w:szCs w:val="28"/>
        </w:rPr>
        <w:t>（</w:t>
      </w:r>
      <w:r>
        <w:rPr>
          <w:rFonts w:ascii="仿宋" w:hAnsi="仿宋" w:eastAsia="仿宋" w:cs="宋体"/>
          <w:b/>
          <w:bCs/>
          <w:color w:val="333333"/>
          <w:sz w:val="28"/>
          <w:szCs w:val="28"/>
        </w:rPr>
        <w:t>2</w:t>
      </w:r>
      <w:r>
        <w:rPr>
          <w:rFonts w:hint="eastAsia" w:ascii="仿宋" w:hAnsi="仿宋" w:eastAsia="仿宋" w:cs="宋体"/>
          <w:b/>
          <w:bCs/>
          <w:color w:val="333333"/>
          <w:sz w:val="28"/>
          <w:szCs w:val="28"/>
        </w:rPr>
        <w:t>）</w:t>
      </w:r>
      <w:r>
        <w:rPr>
          <w:rFonts w:hint="eastAsia" w:ascii="仿宋" w:hAnsi="仿宋" w:eastAsia="仿宋" w:cs="宋体"/>
          <w:b/>
          <w:bCs/>
          <w:color w:val="333333"/>
          <w:sz w:val="28"/>
          <w:szCs w:val="28"/>
          <w:lang w:val="en-US" w:eastAsia="zh-CN"/>
        </w:rPr>
        <w:t>道路</w:t>
      </w:r>
      <w:r>
        <w:rPr>
          <w:rFonts w:hint="eastAsia" w:ascii="仿宋" w:hAnsi="仿宋" w:eastAsia="仿宋" w:cs="宋体"/>
          <w:b/>
          <w:bCs/>
          <w:color w:val="333333"/>
          <w:sz w:val="28"/>
          <w:szCs w:val="28"/>
        </w:rPr>
        <w:t>每日</w:t>
      </w:r>
      <w:r>
        <w:rPr>
          <w:rFonts w:hint="eastAsia" w:ascii="仿宋" w:hAnsi="仿宋" w:eastAsia="仿宋" w:cs="宋体"/>
          <w:b/>
          <w:bCs/>
          <w:color w:val="333333"/>
          <w:sz w:val="28"/>
          <w:szCs w:val="28"/>
          <w:lang w:eastAsia="zh-CN"/>
        </w:rPr>
        <w:t>打扫</w:t>
      </w:r>
      <w:r>
        <w:rPr>
          <w:rFonts w:hint="eastAsia" w:ascii="仿宋" w:hAnsi="仿宋" w:eastAsia="仿宋" w:cs="宋体"/>
          <w:b/>
          <w:bCs/>
          <w:color w:val="333333"/>
          <w:sz w:val="28"/>
          <w:szCs w:val="28"/>
        </w:rPr>
        <w:t>次数达标率（得分</w:t>
      </w:r>
      <w:r>
        <w:rPr>
          <w:rFonts w:hint="eastAsia" w:ascii="仿宋" w:hAnsi="仿宋" w:eastAsia="仿宋" w:cs="宋体"/>
          <w:b/>
          <w:bCs/>
          <w:color w:val="333333"/>
          <w:sz w:val="28"/>
          <w:szCs w:val="28"/>
          <w:lang w:val="en-US" w:eastAsia="zh-CN"/>
        </w:rPr>
        <w:t>3</w:t>
      </w:r>
      <w:r>
        <w:rPr>
          <w:rFonts w:hint="eastAsia" w:ascii="仿宋" w:hAnsi="仿宋" w:eastAsia="仿宋" w:cs="宋体"/>
          <w:b/>
          <w:bCs/>
          <w:color w:val="333333"/>
          <w:sz w:val="28"/>
          <w:szCs w:val="28"/>
        </w:rPr>
        <w:t>分）</w:t>
      </w:r>
    </w:p>
    <w:p>
      <w:pPr>
        <w:spacing w:line="520" w:lineRule="exact"/>
        <w:ind w:firstLine="560" w:firstLineChars="200"/>
        <w:rPr>
          <w:rFonts w:hint="eastAsia" w:ascii="仿宋" w:hAnsi="仿宋" w:eastAsia="仿宋" w:cs="宋体"/>
          <w:sz w:val="28"/>
          <w:szCs w:val="28"/>
          <w:highlight w:val="none"/>
          <w:lang w:bidi="ar"/>
        </w:rPr>
      </w:pPr>
      <w:r>
        <w:rPr>
          <w:rFonts w:hint="eastAsia" w:ascii="仿宋" w:hAnsi="仿宋" w:eastAsia="仿宋" w:cs="宋体"/>
          <w:sz w:val="28"/>
          <w:szCs w:val="28"/>
          <w:lang w:bidi="ar"/>
        </w:rPr>
        <w:t>根据实地现场勘察及</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lang w:bidi="ar"/>
        </w:rPr>
        <w:t>提供的相关佐证材料，2023年</w:t>
      </w:r>
      <w:r>
        <w:rPr>
          <w:rFonts w:hint="eastAsia" w:ascii="仿宋" w:hAnsi="仿宋" w:eastAsia="仿宋" w:cs="宋体"/>
          <w:sz w:val="28"/>
          <w:szCs w:val="28"/>
          <w:lang w:eastAsia="zh-CN" w:bidi="ar"/>
        </w:rPr>
        <w:t>福州市仓山区环境卫生中心</w:t>
      </w:r>
      <w:r>
        <w:rPr>
          <w:rFonts w:hint="eastAsia" w:ascii="仿宋" w:hAnsi="仿宋" w:eastAsia="仿宋" w:cs="宋体"/>
          <w:sz w:val="28"/>
          <w:szCs w:val="28"/>
          <w:lang w:val="en-US" w:eastAsia="zh-CN" w:bidi="ar"/>
        </w:rPr>
        <w:t>每日安排人员进行道路打扫次数</w:t>
      </w:r>
      <w:r>
        <w:rPr>
          <w:rFonts w:hint="eastAsia" w:ascii="仿宋" w:hAnsi="仿宋" w:eastAsia="仿宋" w:cs="宋体"/>
          <w:sz w:val="28"/>
          <w:szCs w:val="28"/>
          <w:highlight w:val="none"/>
          <w:lang w:val="en-US" w:eastAsia="zh-CN" w:bidi="ar"/>
        </w:rPr>
        <w:t>2</w:t>
      </w:r>
      <w:r>
        <w:rPr>
          <w:rFonts w:hint="eastAsia" w:ascii="仿宋" w:hAnsi="仿宋" w:eastAsia="仿宋" w:cs="宋体"/>
          <w:sz w:val="28"/>
          <w:szCs w:val="28"/>
          <w:lang w:val="en-US" w:eastAsia="zh-CN" w:bidi="ar"/>
        </w:rPr>
        <w:t>次，等于目标值</w:t>
      </w:r>
      <w:r>
        <w:rPr>
          <w:rFonts w:hint="eastAsia" w:ascii="仿宋" w:hAnsi="仿宋" w:eastAsia="仿宋" w:cs="宋体"/>
          <w:sz w:val="28"/>
          <w:szCs w:val="28"/>
          <w:highlight w:val="none"/>
          <w:lang w:val="en-US" w:eastAsia="zh-CN" w:bidi="ar"/>
        </w:rPr>
        <w:t>2次，</w:t>
      </w:r>
      <w:r>
        <w:rPr>
          <w:rFonts w:hint="eastAsia" w:ascii="仿宋" w:hAnsi="仿宋" w:eastAsia="仿宋" w:cs="宋体"/>
          <w:sz w:val="28"/>
          <w:szCs w:val="28"/>
          <w:highlight w:val="none"/>
          <w:lang w:bidi="ar"/>
        </w:rPr>
        <w:t>达标率为</w:t>
      </w:r>
      <w:r>
        <w:rPr>
          <w:rFonts w:hint="eastAsia" w:ascii="仿宋" w:hAnsi="仿宋" w:eastAsia="仿宋" w:cs="宋体"/>
          <w:sz w:val="28"/>
          <w:szCs w:val="28"/>
          <w:highlight w:val="none"/>
          <w:lang w:val="en-US" w:eastAsia="zh-CN" w:bidi="ar"/>
        </w:rPr>
        <w:t>100.00</w:t>
      </w:r>
      <w:r>
        <w:rPr>
          <w:rFonts w:hint="eastAsia" w:ascii="仿宋" w:hAnsi="仿宋" w:eastAsia="仿宋" w:cs="宋体"/>
          <w:sz w:val="28"/>
          <w:szCs w:val="28"/>
          <w:highlight w:val="none"/>
          <w:lang w:bidi="ar"/>
        </w:rPr>
        <w:t>%。</w:t>
      </w:r>
    </w:p>
    <w:p>
      <w:pPr>
        <w:shd w:val="clear" w:color="auto" w:fill="FFFFFF"/>
        <w:spacing w:line="520" w:lineRule="exact"/>
        <w:ind w:firstLine="482"/>
        <w:rPr>
          <w:rFonts w:hint="eastAsia" w:ascii="仿宋" w:hAnsi="仿宋" w:eastAsia="仿宋" w:cs="宋体"/>
          <w:bCs/>
          <w:sz w:val="28"/>
          <w:szCs w:val="28"/>
        </w:rPr>
      </w:pPr>
      <w:r>
        <w:rPr>
          <w:rFonts w:hint="eastAsia" w:ascii="仿宋" w:hAnsi="仿宋" w:eastAsia="仿宋" w:cs="宋体"/>
          <w:bCs/>
          <w:sz w:val="28"/>
          <w:szCs w:val="28"/>
        </w:rPr>
        <w:t>根据指标体系评分标准，此项指标绩效评价</w:t>
      </w:r>
      <w:r>
        <w:rPr>
          <w:rFonts w:hint="eastAsia" w:ascii="仿宋" w:hAnsi="仿宋" w:eastAsia="仿宋" w:cs="宋体"/>
          <w:bCs/>
          <w:sz w:val="28"/>
          <w:szCs w:val="28"/>
          <w:highlight w:val="none"/>
        </w:rPr>
        <w:t>得分为</w:t>
      </w:r>
      <w:r>
        <w:rPr>
          <w:rFonts w:hint="eastAsia" w:ascii="仿宋" w:hAnsi="仿宋" w:eastAsia="仿宋" w:cs="宋体"/>
          <w:bCs/>
          <w:sz w:val="28"/>
          <w:szCs w:val="28"/>
          <w:highlight w:val="none"/>
          <w:lang w:val="en-US" w:eastAsia="zh-CN"/>
        </w:rPr>
        <w:t>3</w:t>
      </w:r>
      <w:r>
        <w:rPr>
          <w:rFonts w:hint="eastAsia" w:ascii="仿宋" w:hAnsi="仿宋" w:eastAsia="仿宋" w:cs="宋体"/>
          <w:bCs/>
          <w:sz w:val="28"/>
          <w:szCs w:val="28"/>
          <w:highlight w:val="none"/>
        </w:rPr>
        <w:t>分</w:t>
      </w:r>
      <w:r>
        <w:rPr>
          <w:rFonts w:hint="eastAsia" w:ascii="仿宋" w:hAnsi="仿宋" w:eastAsia="仿宋" w:cs="宋体"/>
          <w:bCs/>
          <w:sz w:val="28"/>
          <w:szCs w:val="28"/>
        </w:rPr>
        <w:t>。</w:t>
      </w:r>
    </w:p>
    <w:p>
      <w:pPr>
        <w:shd w:val="clear" w:color="auto" w:fill="FFFFFF"/>
        <w:spacing w:line="520" w:lineRule="exact"/>
        <w:ind w:firstLine="482" w:firstLineChars="0"/>
        <w:outlineLvl w:val="9"/>
        <w:rPr>
          <w:rFonts w:hint="eastAsia" w:ascii="仿宋" w:hAnsi="仿宋" w:eastAsia="仿宋" w:cs="宋体"/>
          <w:b/>
          <w:bCs/>
          <w:color w:val="333333"/>
          <w:sz w:val="28"/>
          <w:szCs w:val="28"/>
        </w:rPr>
      </w:pPr>
      <w:r>
        <w:rPr>
          <w:rFonts w:hint="eastAsia" w:ascii="仿宋" w:hAnsi="仿宋" w:eastAsia="仿宋" w:cs="宋体"/>
          <w:b/>
          <w:bCs/>
          <w:color w:val="333333"/>
          <w:sz w:val="28"/>
          <w:szCs w:val="28"/>
        </w:rPr>
        <w:t>（</w:t>
      </w:r>
      <w:r>
        <w:rPr>
          <w:rFonts w:hint="eastAsia" w:ascii="仿宋" w:hAnsi="仿宋" w:eastAsia="仿宋" w:cs="宋体"/>
          <w:b/>
          <w:bCs/>
          <w:color w:val="333333"/>
          <w:sz w:val="28"/>
          <w:szCs w:val="28"/>
          <w:lang w:val="en-US" w:eastAsia="zh-CN"/>
        </w:rPr>
        <w:t>3</w:t>
      </w:r>
      <w:r>
        <w:rPr>
          <w:rFonts w:hint="eastAsia" w:ascii="仿宋" w:hAnsi="仿宋" w:eastAsia="仿宋" w:cs="宋体"/>
          <w:b/>
          <w:bCs/>
          <w:color w:val="333333"/>
          <w:sz w:val="28"/>
          <w:szCs w:val="28"/>
        </w:rPr>
        <w:t>）每日完成第一次普扫的时间达标率（得分</w:t>
      </w:r>
      <w:r>
        <w:rPr>
          <w:rFonts w:hint="eastAsia" w:ascii="仿宋" w:hAnsi="仿宋" w:eastAsia="仿宋" w:cs="宋体"/>
          <w:b/>
          <w:bCs/>
          <w:color w:val="333333"/>
          <w:sz w:val="28"/>
          <w:szCs w:val="28"/>
          <w:lang w:val="en-US" w:eastAsia="zh-CN"/>
        </w:rPr>
        <w:t>3</w:t>
      </w:r>
      <w:r>
        <w:rPr>
          <w:rFonts w:hint="eastAsia" w:ascii="仿宋" w:hAnsi="仿宋" w:eastAsia="仿宋" w:cs="宋体"/>
          <w:b/>
          <w:bCs/>
          <w:color w:val="333333"/>
          <w:sz w:val="28"/>
          <w:szCs w:val="28"/>
        </w:rPr>
        <w:t>分）</w:t>
      </w:r>
    </w:p>
    <w:p>
      <w:pPr>
        <w:spacing w:line="520" w:lineRule="exact"/>
        <w:ind w:firstLine="560" w:firstLineChars="200"/>
        <w:rPr>
          <w:rFonts w:hint="eastAsia" w:ascii="仿宋" w:hAnsi="仿宋" w:eastAsia="仿宋" w:cs="宋体"/>
          <w:sz w:val="28"/>
          <w:szCs w:val="28"/>
          <w:lang w:bidi="ar"/>
        </w:rPr>
      </w:pPr>
      <w:r>
        <w:rPr>
          <w:rFonts w:hint="eastAsia" w:ascii="仿宋" w:hAnsi="仿宋" w:eastAsia="仿宋" w:cs="宋体"/>
          <w:sz w:val="28"/>
          <w:szCs w:val="28"/>
          <w:lang w:bidi="ar"/>
        </w:rPr>
        <w:t>根据实地现场勘察及</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lang w:bidi="ar"/>
        </w:rPr>
        <w:t>提供的相关佐证材料，2023年</w:t>
      </w:r>
      <w:r>
        <w:rPr>
          <w:rFonts w:hint="eastAsia" w:ascii="仿宋" w:hAnsi="仿宋" w:eastAsia="仿宋" w:cs="宋体"/>
          <w:sz w:val="28"/>
          <w:szCs w:val="28"/>
          <w:lang w:eastAsia="zh-CN" w:bidi="ar"/>
        </w:rPr>
        <w:t>福州市仓山区环境卫生中心</w:t>
      </w:r>
      <w:r>
        <w:rPr>
          <w:rFonts w:hint="eastAsia" w:ascii="仿宋" w:hAnsi="仿宋" w:eastAsia="仿宋" w:cs="宋体"/>
          <w:sz w:val="28"/>
          <w:szCs w:val="28"/>
          <w:lang w:val="en-US" w:eastAsia="zh-CN" w:bidi="ar"/>
        </w:rPr>
        <w:t>每日完成第一次普通打扫的时间在7点之前，早于目标值7点30分，</w:t>
      </w:r>
      <w:r>
        <w:rPr>
          <w:rFonts w:hint="eastAsia" w:ascii="仿宋" w:hAnsi="仿宋" w:eastAsia="仿宋" w:cs="宋体"/>
          <w:sz w:val="28"/>
          <w:szCs w:val="28"/>
          <w:lang w:bidi="ar"/>
        </w:rPr>
        <w:t>达标率为</w:t>
      </w:r>
      <w:r>
        <w:rPr>
          <w:rFonts w:hint="eastAsia" w:ascii="仿宋" w:hAnsi="仿宋" w:eastAsia="仿宋" w:cs="宋体"/>
          <w:sz w:val="28"/>
          <w:szCs w:val="28"/>
          <w:lang w:val="en-US" w:eastAsia="zh-CN" w:bidi="ar"/>
        </w:rPr>
        <w:t>100.00</w:t>
      </w:r>
      <w:r>
        <w:rPr>
          <w:rFonts w:hint="eastAsia" w:ascii="仿宋" w:hAnsi="仿宋" w:eastAsia="仿宋" w:cs="宋体"/>
          <w:sz w:val="28"/>
          <w:szCs w:val="28"/>
          <w:lang w:bidi="ar"/>
        </w:rPr>
        <w:t>%。</w:t>
      </w:r>
    </w:p>
    <w:p>
      <w:pPr>
        <w:shd w:val="clear" w:color="auto" w:fill="FFFFFF"/>
        <w:spacing w:line="520" w:lineRule="exact"/>
        <w:ind w:firstLine="482"/>
        <w:rPr>
          <w:rFonts w:hint="eastAsia"/>
        </w:rPr>
      </w:pPr>
      <w:r>
        <w:rPr>
          <w:rFonts w:hint="eastAsia" w:ascii="仿宋" w:hAnsi="仿宋" w:eastAsia="仿宋" w:cs="宋体"/>
          <w:bCs/>
          <w:sz w:val="28"/>
          <w:szCs w:val="28"/>
        </w:rPr>
        <w:t>根据指标体系评分标准，此项指标绩效评价得分为</w:t>
      </w:r>
      <w:r>
        <w:rPr>
          <w:rFonts w:hint="eastAsia" w:ascii="仿宋" w:hAnsi="仿宋" w:eastAsia="仿宋" w:cs="宋体"/>
          <w:bCs/>
          <w:sz w:val="28"/>
          <w:szCs w:val="28"/>
          <w:highlight w:val="none"/>
          <w:lang w:val="en-US" w:eastAsia="zh-CN"/>
        </w:rPr>
        <w:t>3</w:t>
      </w:r>
      <w:r>
        <w:rPr>
          <w:rFonts w:hint="eastAsia" w:ascii="仿宋" w:hAnsi="仿宋" w:eastAsia="仿宋" w:cs="宋体"/>
          <w:bCs/>
          <w:sz w:val="28"/>
          <w:szCs w:val="28"/>
        </w:rPr>
        <w:t>分。</w:t>
      </w:r>
    </w:p>
    <w:p>
      <w:pPr>
        <w:shd w:val="clear" w:color="auto" w:fill="FFFFFF"/>
        <w:spacing w:line="520" w:lineRule="exact"/>
        <w:ind w:firstLine="482" w:firstLineChars="0"/>
        <w:outlineLvl w:val="9"/>
        <w:rPr>
          <w:rFonts w:hint="eastAsia" w:ascii="仿宋" w:hAnsi="仿宋" w:eastAsia="仿宋" w:cs="宋体"/>
          <w:b/>
          <w:sz w:val="28"/>
          <w:szCs w:val="28"/>
          <w:highlight w:val="none"/>
        </w:rPr>
      </w:pPr>
      <w:r>
        <w:rPr>
          <w:rFonts w:hint="eastAsia" w:ascii="仿宋" w:hAnsi="仿宋" w:eastAsia="仿宋" w:cs="宋体"/>
          <w:b/>
          <w:sz w:val="28"/>
          <w:szCs w:val="28"/>
        </w:rPr>
        <w:t>2.产出质量（满分6分，得分</w:t>
      </w:r>
      <w:r>
        <w:rPr>
          <w:rFonts w:hint="eastAsia" w:ascii="仿宋" w:hAnsi="仿宋" w:eastAsia="仿宋" w:cs="宋体"/>
          <w:b/>
          <w:bCs/>
          <w:sz w:val="28"/>
          <w:szCs w:val="28"/>
          <w:highlight w:val="none"/>
          <w:lang w:val="en-US" w:eastAsia="zh-CN"/>
        </w:rPr>
        <w:t>6</w:t>
      </w:r>
      <w:r>
        <w:rPr>
          <w:rFonts w:hint="eastAsia" w:ascii="仿宋" w:hAnsi="仿宋" w:eastAsia="仿宋" w:cs="宋体"/>
          <w:b/>
          <w:sz w:val="28"/>
          <w:szCs w:val="28"/>
          <w:highlight w:val="none"/>
        </w:rPr>
        <w:t>分）</w:t>
      </w:r>
    </w:p>
    <w:p>
      <w:pPr>
        <w:spacing w:line="520" w:lineRule="exact"/>
        <w:ind w:firstLine="562" w:firstLineChars="200"/>
        <w:outlineLvl w:val="9"/>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bidi="ar"/>
        </w:rPr>
        <w:t>（1）环卫考评月平均分达标率</w:t>
      </w:r>
      <w:r>
        <w:rPr>
          <w:rFonts w:hint="eastAsia" w:ascii="仿宋" w:hAnsi="仿宋" w:eastAsia="仿宋" w:cs="宋体"/>
          <w:b/>
          <w:bCs/>
          <w:sz w:val="28"/>
          <w:szCs w:val="28"/>
          <w:highlight w:val="none"/>
        </w:rPr>
        <w:t>（得分</w:t>
      </w:r>
      <w:r>
        <w:rPr>
          <w:rFonts w:hint="eastAsia" w:ascii="仿宋" w:hAnsi="仿宋" w:eastAsia="仿宋" w:cs="宋体"/>
          <w:b/>
          <w:bCs/>
          <w:sz w:val="28"/>
          <w:szCs w:val="28"/>
          <w:highlight w:val="none"/>
          <w:lang w:val="en-US" w:eastAsia="zh-CN"/>
        </w:rPr>
        <w:t>3</w:t>
      </w:r>
      <w:r>
        <w:rPr>
          <w:rFonts w:hint="eastAsia" w:ascii="仿宋" w:hAnsi="仿宋" w:eastAsia="仿宋" w:cs="宋体"/>
          <w:b/>
          <w:bCs/>
          <w:sz w:val="28"/>
          <w:szCs w:val="28"/>
          <w:highlight w:val="none"/>
        </w:rPr>
        <w:t>分）</w:t>
      </w:r>
    </w:p>
    <w:p>
      <w:pPr>
        <w:spacing w:line="520" w:lineRule="exact"/>
        <w:ind w:firstLine="560" w:firstLineChars="200"/>
        <w:rPr>
          <w:rFonts w:hint="default" w:ascii="仿宋" w:hAnsi="仿宋" w:eastAsia="仿宋" w:cs="宋体"/>
          <w:sz w:val="28"/>
          <w:szCs w:val="28"/>
          <w:highlight w:val="none"/>
          <w:lang w:val="en-US" w:bidi="ar"/>
        </w:rPr>
      </w:pPr>
      <w:r>
        <w:rPr>
          <w:rFonts w:hint="eastAsia" w:ascii="仿宋" w:hAnsi="仿宋" w:eastAsia="仿宋" w:cs="宋体"/>
          <w:sz w:val="28"/>
          <w:szCs w:val="28"/>
          <w:highlight w:val="none"/>
          <w:lang w:val="en-US" w:eastAsia="zh-CN" w:bidi="ar"/>
        </w:rPr>
        <w:t>环卫考评月平均分达标率</w:t>
      </w:r>
      <w:r>
        <w:rPr>
          <w:rFonts w:hint="eastAsia" w:ascii="仿宋" w:hAnsi="仿宋" w:eastAsia="仿宋" w:cs="宋体"/>
          <w:sz w:val="28"/>
          <w:szCs w:val="28"/>
          <w:highlight w:val="none"/>
          <w:lang w:bidi="ar"/>
        </w:rPr>
        <w:t>主要通过</w:t>
      </w:r>
      <w:r>
        <w:rPr>
          <w:rFonts w:hint="eastAsia" w:ascii="仿宋" w:hAnsi="仿宋" w:eastAsia="仿宋" w:cs="宋体"/>
          <w:sz w:val="28"/>
          <w:szCs w:val="28"/>
          <w:highlight w:val="none"/>
          <w:lang w:val="en-US" w:eastAsia="zh-CN" w:bidi="ar"/>
        </w:rPr>
        <w:t>汇总在环卫考评月所有得分，再计算平均分的方式，确认是否达标。</w:t>
      </w:r>
    </w:p>
    <w:p>
      <w:pPr>
        <w:spacing w:line="520" w:lineRule="exact"/>
        <w:ind w:firstLine="560" w:firstLineChars="200"/>
        <w:rPr>
          <w:rFonts w:hint="eastAsia" w:ascii="仿宋" w:hAnsi="仿宋" w:eastAsia="仿宋" w:cs="宋体"/>
          <w:sz w:val="28"/>
          <w:szCs w:val="28"/>
          <w:highlight w:val="none"/>
          <w:lang w:bidi="ar"/>
        </w:rPr>
      </w:pPr>
      <w:r>
        <w:rPr>
          <w:rFonts w:hint="eastAsia" w:ascii="仿宋" w:hAnsi="仿宋" w:eastAsia="仿宋" w:cs="宋体"/>
          <w:sz w:val="28"/>
          <w:szCs w:val="28"/>
          <w:highlight w:val="none"/>
          <w:lang w:bidi="ar"/>
        </w:rPr>
        <w:t>通过实地调研及核查佐证资料，截至绩效评价基准日，</w:t>
      </w:r>
      <w:r>
        <w:rPr>
          <w:rFonts w:hint="eastAsia" w:ascii="仿宋" w:hAnsi="仿宋" w:eastAsia="仿宋" w:cs="宋体"/>
          <w:sz w:val="28"/>
          <w:szCs w:val="28"/>
          <w:highlight w:val="none"/>
          <w:lang w:eastAsia="zh-CN" w:bidi="ar"/>
        </w:rPr>
        <w:t>福州市仓山区环境卫生中心</w:t>
      </w:r>
      <w:r>
        <w:rPr>
          <w:rFonts w:hint="eastAsia" w:ascii="仿宋" w:hAnsi="仿宋" w:eastAsia="仿宋" w:cs="宋体"/>
          <w:sz w:val="28"/>
          <w:szCs w:val="28"/>
          <w:highlight w:val="none"/>
          <w:lang w:bidi="ar"/>
        </w:rPr>
        <w:t>环卫考评月平均分</w:t>
      </w:r>
      <w:r>
        <w:rPr>
          <w:rFonts w:hint="eastAsia" w:ascii="仿宋" w:hAnsi="仿宋" w:eastAsia="仿宋" w:cs="宋体"/>
          <w:sz w:val="28"/>
          <w:szCs w:val="28"/>
          <w:highlight w:val="none"/>
          <w:lang w:val="en-US" w:eastAsia="zh-CN" w:bidi="ar"/>
        </w:rPr>
        <w:t>均在85分及以上</w:t>
      </w:r>
      <w:r>
        <w:rPr>
          <w:rFonts w:hint="eastAsia" w:ascii="仿宋" w:hAnsi="仿宋" w:eastAsia="仿宋" w:cs="宋体"/>
          <w:sz w:val="28"/>
          <w:szCs w:val="28"/>
          <w:highlight w:val="none"/>
          <w:lang w:bidi="ar"/>
        </w:rPr>
        <w:t>，大于</w:t>
      </w:r>
      <w:r>
        <w:rPr>
          <w:rFonts w:hint="eastAsia" w:ascii="仿宋" w:hAnsi="仿宋" w:eastAsia="仿宋" w:cs="宋体"/>
          <w:sz w:val="28"/>
          <w:szCs w:val="28"/>
          <w:highlight w:val="none"/>
          <w:lang w:val="en-US" w:eastAsia="zh-CN" w:bidi="ar"/>
        </w:rPr>
        <w:t>等于</w:t>
      </w:r>
      <w:r>
        <w:rPr>
          <w:rFonts w:hint="eastAsia" w:ascii="仿宋" w:hAnsi="仿宋" w:eastAsia="仿宋" w:cs="宋体"/>
          <w:sz w:val="28"/>
          <w:szCs w:val="28"/>
          <w:highlight w:val="none"/>
          <w:lang w:bidi="ar"/>
        </w:rPr>
        <w:t>目标值</w:t>
      </w:r>
      <w:r>
        <w:rPr>
          <w:rFonts w:hint="eastAsia" w:ascii="仿宋" w:hAnsi="仿宋" w:eastAsia="仿宋" w:cs="宋体"/>
          <w:sz w:val="28"/>
          <w:szCs w:val="28"/>
          <w:highlight w:val="none"/>
          <w:lang w:val="en-US" w:eastAsia="zh-CN" w:bidi="ar"/>
        </w:rPr>
        <w:t>85分</w:t>
      </w:r>
      <w:r>
        <w:rPr>
          <w:rFonts w:hint="eastAsia" w:ascii="仿宋" w:hAnsi="仿宋" w:eastAsia="仿宋" w:cs="宋体"/>
          <w:sz w:val="28"/>
          <w:szCs w:val="28"/>
          <w:highlight w:val="none"/>
          <w:lang w:bidi="ar"/>
        </w:rPr>
        <w:t>，质量达标率为</w:t>
      </w:r>
      <w:r>
        <w:rPr>
          <w:rFonts w:hint="eastAsia" w:ascii="仿宋" w:hAnsi="仿宋" w:eastAsia="仿宋" w:cs="宋体"/>
          <w:sz w:val="28"/>
          <w:szCs w:val="28"/>
          <w:highlight w:val="none"/>
          <w:lang w:val="en-US" w:eastAsia="zh-CN" w:bidi="ar"/>
        </w:rPr>
        <w:t>100.00</w:t>
      </w:r>
      <w:r>
        <w:rPr>
          <w:rFonts w:hint="eastAsia" w:ascii="仿宋" w:hAnsi="仿宋" w:eastAsia="仿宋" w:cs="宋体"/>
          <w:sz w:val="28"/>
          <w:szCs w:val="28"/>
          <w:highlight w:val="none"/>
          <w:lang w:bidi="ar"/>
        </w:rPr>
        <w:t>%。</w:t>
      </w:r>
    </w:p>
    <w:p>
      <w:pPr>
        <w:spacing w:line="520" w:lineRule="exact"/>
        <w:ind w:firstLine="560" w:firstLineChars="200"/>
        <w:rPr>
          <w:rFonts w:hint="eastAsia" w:ascii="仿宋" w:hAnsi="仿宋" w:eastAsia="仿宋" w:cs="宋体"/>
          <w:sz w:val="28"/>
          <w:szCs w:val="28"/>
          <w:highlight w:val="none"/>
          <w:lang w:bidi="ar"/>
        </w:rPr>
      </w:pPr>
      <w:r>
        <w:rPr>
          <w:rFonts w:hint="eastAsia" w:ascii="仿宋" w:hAnsi="仿宋" w:eastAsia="仿宋" w:cs="宋体"/>
          <w:sz w:val="28"/>
          <w:szCs w:val="28"/>
          <w:highlight w:val="none"/>
          <w:lang w:bidi="ar"/>
        </w:rPr>
        <w:t>根据指标体系评分标准，此项指标绩效评价得分为</w:t>
      </w:r>
      <w:r>
        <w:rPr>
          <w:rFonts w:hint="eastAsia" w:ascii="仿宋" w:hAnsi="仿宋" w:eastAsia="仿宋" w:cs="宋体"/>
          <w:sz w:val="28"/>
          <w:szCs w:val="28"/>
          <w:highlight w:val="none"/>
          <w:lang w:val="en-US" w:eastAsia="zh-CN" w:bidi="ar"/>
        </w:rPr>
        <w:t>3</w:t>
      </w:r>
      <w:r>
        <w:rPr>
          <w:rFonts w:hint="eastAsia" w:ascii="仿宋" w:hAnsi="仿宋" w:eastAsia="仿宋" w:cs="宋体"/>
          <w:sz w:val="28"/>
          <w:szCs w:val="28"/>
          <w:highlight w:val="none"/>
          <w:lang w:bidi="ar"/>
        </w:rPr>
        <w:t>分。</w:t>
      </w:r>
    </w:p>
    <w:p>
      <w:pPr>
        <w:spacing w:line="520" w:lineRule="exact"/>
        <w:ind w:firstLine="562" w:firstLineChars="200"/>
        <w:outlineLvl w:val="9"/>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bidi="ar"/>
        </w:rPr>
        <w:t>（</w:t>
      </w:r>
      <w:r>
        <w:rPr>
          <w:rFonts w:hint="eastAsia" w:ascii="仿宋" w:hAnsi="仿宋" w:eastAsia="仿宋" w:cs="宋体"/>
          <w:b/>
          <w:bCs/>
          <w:sz w:val="28"/>
          <w:szCs w:val="28"/>
          <w:highlight w:val="none"/>
          <w:lang w:val="en-US" w:eastAsia="zh-CN" w:bidi="ar"/>
        </w:rPr>
        <w:t>2</w:t>
      </w:r>
      <w:r>
        <w:rPr>
          <w:rFonts w:hint="eastAsia" w:ascii="仿宋" w:hAnsi="仿宋" w:eastAsia="仿宋" w:cs="宋体"/>
          <w:b/>
          <w:bCs/>
          <w:sz w:val="28"/>
          <w:szCs w:val="28"/>
          <w:highlight w:val="none"/>
          <w:lang w:bidi="ar"/>
        </w:rPr>
        <w:t>）</w:t>
      </w:r>
      <w:r>
        <w:rPr>
          <w:rFonts w:hint="eastAsia" w:ascii="仿宋" w:hAnsi="仿宋" w:eastAsia="仿宋" w:cs="宋体"/>
          <w:b/>
          <w:bCs/>
          <w:sz w:val="28"/>
          <w:szCs w:val="28"/>
          <w:highlight w:val="none"/>
          <w:lang w:val="en-US" w:eastAsia="zh-CN" w:bidi="ar"/>
        </w:rPr>
        <w:t>环卫保洁每月被投诉次数</w:t>
      </w:r>
      <w:r>
        <w:rPr>
          <w:rFonts w:hint="eastAsia" w:ascii="仿宋" w:hAnsi="仿宋" w:eastAsia="仿宋" w:cs="宋体"/>
          <w:b/>
          <w:bCs/>
          <w:sz w:val="28"/>
          <w:szCs w:val="28"/>
          <w:highlight w:val="none"/>
          <w:lang w:bidi="ar"/>
        </w:rPr>
        <w:t>达标率</w:t>
      </w:r>
      <w:r>
        <w:rPr>
          <w:rFonts w:hint="eastAsia" w:ascii="仿宋" w:hAnsi="仿宋" w:eastAsia="仿宋" w:cs="宋体"/>
          <w:b/>
          <w:bCs/>
          <w:sz w:val="28"/>
          <w:szCs w:val="28"/>
          <w:highlight w:val="none"/>
        </w:rPr>
        <w:t>（得分</w:t>
      </w:r>
      <w:r>
        <w:rPr>
          <w:rFonts w:hint="eastAsia" w:ascii="仿宋" w:hAnsi="仿宋" w:eastAsia="仿宋" w:cs="宋体"/>
          <w:b/>
          <w:bCs/>
          <w:sz w:val="28"/>
          <w:szCs w:val="28"/>
          <w:highlight w:val="none"/>
          <w:lang w:val="en-US" w:eastAsia="zh-CN"/>
        </w:rPr>
        <w:t>3</w:t>
      </w:r>
      <w:r>
        <w:rPr>
          <w:rFonts w:hint="eastAsia" w:ascii="仿宋" w:hAnsi="仿宋" w:eastAsia="仿宋" w:cs="宋体"/>
          <w:b/>
          <w:bCs/>
          <w:sz w:val="28"/>
          <w:szCs w:val="28"/>
          <w:highlight w:val="none"/>
        </w:rPr>
        <w:t>分）</w:t>
      </w:r>
    </w:p>
    <w:p>
      <w:pPr>
        <w:spacing w:line="520" w:lineRule="exact"/>
        <w:ind w:firstLine="560" w:firstLineChars="200"/>
        <w:rPr>
          <w:rFonts w:hint="eastAsia" w:ascii="仿宋" w:hAnsi="仿宋" w:eastAsia="仿宋" w:cs="宋体"/>
          <w:sz w:val="28"/>
          <w:szCs w:val="28"/>
          <w:lang w:bidi="ar"/>
        </w:rPr>
      </w:pPr>
      <w:r>
        <w:rPr>
          <w:rFonts w:hint="eastAsia" w:ascii="仿宋" w:hAnsi="仿宋" w:eastAsia="仿宋" w:cs="宋体"/>
          <w:sz w:val="28"/>
          <w:szCs w:val="28"/>
          <w:highlight w:val="none"/>
          <w:lang w:val="en-US" w:eastAsia="zh-CN" w:bidi="ar"/>
        </w:rPr>
        <w:t>环卫保洁每月被投诉次数达标率</w:t>
      </w:r>
      <w:r>
        <w:rPr>
          <w:rFonts w:hint="eastAsia" w:ascii="仿宋" w:hAnsi="仿宋" w:eastAsia="仿宋" w:cs="宋体"/>
          <w:sz w:val="28"/>
          <w:szCs w:val="28"/>
          <w:highlight w:val="none"/>
          <w:lang w:bidi="ar"/>
        </w:rPr>
        <w:t>主要通过</w:t>
      </w:r>
      <w:r>
        <w:rPr>
          <w:rFonts w:hint="eastAsia" w:ascii="仿宋" w:hAnsi="仿宋" w:eastAsia="仿宋" w:cs="宋体"/>
          <w:sz w:val="28"/>
          <w:szCs w:val="28"/>
          <w:highlight w:val="none"/>
          <w:lang w:val="en-US" w:eastAsia="zh-CN" w:bidi="ar"/>
        </w:rPr>
        <w:t>核算每月环卫保洁被投诉的次数。</w:t>
      </w:r>
      <w:r>
        <w:rPr>
          <w:rFonts w:hint="eastAsia" w:ascii="仿宋" w:hAnsi="仿宋" w:eastAsia="仿宋" w:cs="宋体"/>
          <w:sz w:val="28"/>
          <w:szCs w:val="28"/>
          <w:highlight w:val="none"/>
          <w:lang w:bidi="ar"/>
        </w:rPr>
        <w:t>通过实地调研及核查佐证资料，截至绩效评价基准日，</w:t>
      </w:r>
      <w:r>
        <w:rPr>
          <w:rFonts w:hint="eastAsia" w:ascii="仿宋" w:hAnsi="仿宋" w:eastAsia="仿宋" w:cs="宋体"/>
          <w:sz w:val="28"/>
          <w:szCs w:val="28"/>
          <w:highlight w:val="none"/>
          <w:lang w:eastAsia="zh-CN" w:bidi="ar"/>
        </w:rPr>
        <w:t>福州市仓山区环境卫生中心</w:t>
      </w:r>
      <w:r>
        <w:rPr>
          <w:rFonts w:hint="eastAsia" w:ascii="仿宋" w:hAnsi="仿宋" w:eastAsia="仿宋" w:cs="宋体"/>
          <w:sz w:val="28"/>
          <w:szCs w:val="28"/>
          <w:highlight w:val="none"/>
          <w:lang w:val="en-US" w:eastAsia="zh-CN" w:bidi="ar"/>
        </w:rPr>
        <w:t>环卫保洁每月被投诉次数均在3次以下</w:t>
      </w:r>
      <w:r>
        <w:rPr>
          <w:rFonts w:hint="eastAsia" w:ascii="仿宋" w:hAnsi="仿宋" w:eastAsia="仿宋" w:cs="宋体"/>
          <w:sz w:val="28"/>
          <w:szCs w:val="28"/>
          <w:highlight w:val="none"/>
          <w:lang w:bidi="ar"/>
        </w:rPr>
        <w:t>，</w:t>
      </w:r>
      <w:r>
        <w:rPr>
          <w:rFonts w:hint="eastAsia" w:ascii="仿宋" w:hAnsi="仿宋" w:eastAsia="仿宋" w:cs="宋体"/>
          <w:sz w:val="28"/>
          <w:szCs w:val="28"/>
          <w:highlight w:val="none"/>
          <w:lang w:val="en-US" w:eastAsia="zh-CN" w:bidi="ar"/>
        </w:rPr>
        <w:t>小于</w:t>
      </w:r>
      <w:r>
        <w:rPr>
          <w:rFonts w:hint="eastAsia" w:ascii="仿宋" w:hAnsi="仿宋" w:eastAsia="仿宋" w:cs="宋体"/>
          <w:sz w:val="28"/>
          <w:szCs w:val="28"/>
          <w:lang w:bidi="ar"/>
        </w:rPr>
        <w:t>目标值</w:t>
      </w:r>
      <w:r>
        <w:rPr>
          <w:rFonts w:hint="eastAsia" w:ascii="仿宋" w:hAnsi="仿宋" w:eastAsia="仿宋" w:cs="宋体"/>
          <w:sz w:val="28"/>
          <w:szCs w:val="28"/>
          <w:lang w:val="en-US" w:eastAsia="zh-CN" w:bidi="ar"/>
        </w:rPr>
        <w:t>每月3次</w:t>
      </w:r>
      <w:r>
        <w:rPr>
          <w:rFonts w:hint="eastAsia" w:ascii="仿宋" w:hAnsi="仿宋" w:eastAsia="仿宋" w:cs="宋体"/>
          <w:sz w:val="28"/>
          <w:szCs w:val="28"/>
          <w:lang w:bidi="ar"/>
        </w:rPr>
        <w:t>，质量达标率为</w:t>
      </w:r>
      <w:r>
        <w:rPr>
          <w:rFonts w:hint="eastAsia" w:ascii="仿宋" w:hAnsi="仿宋" w:eastAsia="仿宋" w:cs="宋体"/>
          <w:sz w:val="28"/>
          <w:szCs w:val="28"/>
          <w:lang w:val="en-US" w:eastAsia="zh-CN" w:bidi="ar"/>
        </w:rPr>
        <w:t>100.00</w:t>
      </w:r>
      <w:r>
        <w:rPr>
          <w:rFonts w:hint="eastAsia" w:ascii="仿宋" w:hAnsi="仿宋" w:eastAsia="仿宋" w:cs="宋体"/>
          <w:sz w:val="28"/>
          <w:szCs w:val="28"/>
          <w:lang w:bidi="ar"/>
        </w:rPr>
        <w:t>%。</w:t>
      </w:r>
    </w:p>
    <w:p>
      <w:pPr>
        <w:spacing w:line="520" w:lineRule="exact"/>
        <w:ind w:firstLine="560" w:firstLineChars="200"/>
        <w:rPr>
          <w:rFonts w:hint="eastAsia" w:ascii="仿宋" w:hAnsi="仿宋" w:eastAsia="仿宋" w:cs="宋体"/>
          <w:sz w:val="28"/>
          <w:szCs w:val="28"/>
          <w:highlight w:val="none"/>
          <w:lang w:bidi="ar"/>
        </w:rPr>
      </w:pPr>
      <w:r>
        <w:rPr>
          <w:rFonts w:hint="eastAsia" w:ascii="仿宋" w:hAnsi="仿宋" w:eastAsia="仿宋" w:cs="宋体"/>
          <w:sz w:val="28"/>
          <w:szCs w:val="28"/>
          <w:lang w:bidi="ar"/>
        </w:rPr>
        <w:t>根据指标体系评分标准，</w:t>
      </w:r>
      <w:r>
        <w:rPr>
          <w:rFonts w:hint="eastAsia" w:ascii="仿宋" w:hAnsi="仿宋" w:eastAsia="仿宋" w:cs="宋体"/>
          <w:sz w:val="28"/>
          <w:szCs w:val="28"/>
          <w:highlight w:val="none"/>
          <w:lang w:bidi="ar"/>
        </w:rPr>
        <w:t>此项指标绩效评价得分为</w:t>
      </w:r>
      <w:r>
        <w:rPr>
          <w:rFonts w:hint="eastAsia" w:ascii="仿宋" w:hAnsi="仿宋" w:eastAsia="仿宋" w:cs="宋体"/>
          <w:sz w:val="28"/>
          <w:szCs w:val="28"/>
          <w:highlight w:val="none"/>
          <w:lang w:val="en-US" w:eastAsia="zh-CN" w:bidi="ar"/>
        </w:rPr>
        <w:t>3</w:t>
      </w:r>
      <w:r>
        <w:rPr>
          <w:rFonts w:hint="eastAsia" w:ascii="仿宋" w:hAnsi="仿宋" w:eastAsia="仿宋" w:cs="宋体"/>
          <w:sz w:val="28"/>
          <w:szCs w:val="28"/>
          <w:highlight w:val="none"/>
          <w:lang w:bidi="ar"/>
        </w:rPr>
        <w:t>分。</w:t>
      </w:r>
    </w:p>
    <w:p>
      <w:pPr>
        <w:numPr>
          <w:ilvl w:val="0"/>
          <w:numId w:val="0"/>
        </w:numPr>
        <w:shd w:val="clear" w:color="auto" w:fill="FFFFFF"/>
        <w:spacing w:line="520" w:lineRule="exact"/>
        <w:ind w:firstLine="482" w:firstLineChars="0"/>
        <w:outlineLvl w:val="9"/>
        <w:rPr>
          <w:rFonts w:hint="eastAsia" w:ascii="仿宋" w:hAnsi="仿宋" w:eastAsia="仿宋" w:cs="宋体"/>
          <w:b/>
          <w:sz w:val="28"/>
          <w:szCs w:val="28"/>
          <w:highlight w:val="none"/>
        </w:rPr>
      </w:pPr>
      <w:r>
        <w:rPr>
          <w:rFonts w:hint="eastAsia" w:ascii="仿宋" w:hAnsi="仿宋" w:eastAsia="仿宋" w:cs="宋体"/>
          <w:b/>
          <w:snapToGrid w:val="0"/>
          <w:color w:val="000000"/>
          <w:sz w:val="28"/>
          <w:szCs w:val="28"/>
          <w:lang w:val="en-US" w:eastAsia="zh-CN" w:bidi="ar-SA"/>
        </w:rPr>
        <w:t>3.</w:t>
      </w:r>
      <w:r>
        <w:rPr>
          <w:rFonts w:hint="eastAsia" w:ascii="仿宋" w:hAnsi="仿宋" w:eastAsia="仿宋" w:cs="宋体"/>
          <w:b/>
          <w:sz w:val="28"/>
          <w:szCs w:val="28"/>
          <w:highlight w:val="none"/>
        </w:rPr>
        <w:t>产出时效（满分7分，得分</w:t>
      </w:r>
      <w:r>
        <w:rPr>
          <w:rFonts w:hint="eastAsia" w:ascii="仿宋" w:hAnsi="仿宋" w:eastAsia="仿宋" w:cs="宋体"/>
          <w:b/>
          <w:sz w:val="28"/>
          <w:szCs w:val="28"/>
          <w:highlight w:val="none"/>
          <w:lang w:val="en-US" w:eastAsia="zh-CN"/>
        </w:rPr>
        <w:t>7</w:t>
      </w:r>
      <w:r>
        <w:rPr>
          <w:rFonts w:hint="eastAsia" w:ascii="仿宋" w:hAnsi="仿宋" w:eastAsia="仿宋" w:cs="宋体"/>
          <w:b/>
          <w:sz w:val="28"/>
          <w:szCs w:val="28"/>
          <w:highlight w:val="none"/>
        </w:rPr>
        <w:t>分）</w:t>
      </w:r>
    </w:p>
    <w:p>
      <w:pPr>
        <w:spacing w:line="520" w:lineRule="exact"/>
        <w:ind w:firstLine="562" w:firstLineChars="200"/>
        <w:outlineLvl w:val="9"/>
        <w:rPr>
          <w:rFonts w:hint="eastAsia" w:ascii="仿宋" w:hAnsi="仿宋" w:eastAsia="仿宋" w:cs="宋体"/>
          <w:b/>
          <w:bCs/>
          <w:sz w:val="28"/>
          <w:szCs w:val="28"/>
          <w:highlight w:val="none"/>
        </w:rPr>
      </w:pPr>
      <w:r>
        <w:rPr>
          <w:rFonts w:hint="eastAsia" w:ascii="仿宋" w:hAnsi="仿宋" w:eastAsia="仿宋" w:cs="宋体"/>
          <w:b/>
          <w:bCs/>
          <w:sz w:val="28"/>
          <w:szCs w:val="28"/>
          <w:highlight w:val="none"/>
          <w:lang w:bidi="ar"/>
        </w:rPr>
        <w:t>（1）</w:t>
      </w:r>
      <w:r>
        <w:rPr>
          <w:rFonts w:hint="eastAsia" w:ascii="仿宋" w:hAnsi="仿宋" w:eastAsia="仿宋" w:cs="宋体"/>
          <w:b/>
          <w:bCs/>
          <w:sz w:val="28"/>
          <w:szCs w:val="28"/>
          <w:highlight w:val="none"/>
          <w:lang w:val="en-US" w:eastAsia="zh-CN" w:bidi="ar"/>
        </w:rPr>
        <w:t>完成进度</w:t>
      </w:r>
      <w:r>
        <w:rPr>
          <w:rFonts w:hint="eastAsia" w:ascii="仿宋" w:hAnsi="仿宋" w:eastAsia="仿宋" w:cs="宋体"/>
          <w:b/>
          <w:bCs/>
          <w:sz w:val="28"/>
          <w:szCs w:val="28"/>
          <w:highlight w:val="none"/>
          <w:lang w:bidi="ar"/>
        </w:rPr>
        <w:t>达标率</w:t>
      </w:r>
      <w:r>
        <w:rPr>
          <w:rFonts w:hint="eastAsia" w:ascii="仿宋" w:hAnsi="仿宋" w:eastAsia="仿宋" w:cs="宋体"/>
          <w:b/>
          <w:bCs/>
          <w:sz w:val="28"/>
          <w:szCs w:val="28"/>
          <w:highlight w:val="none"/>
        </w:rPr>
        <w:t>（得分</w:t>
      </w:r>
      <w:r>
        <w:rPr>
          <w:rFonts w:hint="eastAsia" w:ascii="仿宋" w:hAnsi="仿宋" w:eastAsia="仿宋" w:cs="宋体"/>
          <w:b/>
          <w:bCs/>
          <w:sz w:val="28"/>
          <w:szCs w:val="28"/>
          <w:highlight w:val="none"/>
          <w:lang w:val="en-US" w:eastAsia="zh-CN"/>
        </w:rPr>
        <w:t>7</w:t>
      </w:r>
      <w:r>
        <w:rPr>
          <w:rFonts w:hint="eastAsia" w:ascii="仿宋" w:hAnsi="仿宋" w:eastAsia="仿宋" w:cs="宋体"/>
          <w:b/>
          <w:bCs/>
          <w:sz w:val="28"/>
          <w:szCs w:val="28"/>
          <w:highlight w:val="none"/>
        </w:rPr>
        <w:t>分）</w:t>
      </w:r>
    </w:p>
    <w:p>
      <w:pPr>
        <w:pStyle w:val="19"/>
        <w:adjustRightInd w:val="0"/>
        <w:snapToGrid w:val="0"/>
        <w:spacing w:line="520" w:lineRule="exact"/>
        <w:ind w:firstLine="560" w:firstLineChars="200"/>
        <w:rPr>
          <w:rFonts w:hint="eastAsia" w:ascii="仿宋" w:hAnsi="仿宋" w:eastAsia="仿宋" w:cs="宋体"/>
          <w:bCs/>
          <w:sz w:val="28"/>
          <w:szCs w:val="28"/>
        </w:rPr>
      </w:pPr>
      <w:r>
        <w:rPr>
          <w:rFonts w:hint="eastAsia" w:ascii="仿宋" w:hAnsi="仿宋" w:eastAsia="仿宋" w:cs="宋体"/>
          <w:bCs/>
          <w:sz w:val="28"/>
          <w:szCs w:val="28"/>
          <w:highlight w:val="none"/>
        </w:rPr>
        <w:t>产出时效指标主要评价</w:t>
      </w:r>
      <w:r>
        <w:rPr>
          <w:rFonts w:hint="eastAsia" w:ascii="仿宋" w:hAnsi="仿宋" w:eastAsia="仿宋" w:cs="宋体"/>
          <w:sz w:val="28"/>
          <w:szCs w:val="28"/>
          <w:highlight w:val="none"/>
          <w:lang w:bidi="ar"/>
        </w:rPr>
        <w:t>项目及时</w:t>
      </w:r>
      <w:r>
        <w:rPr>
          <w:rFonts w:hint="eastAsia" w:ascii="仿宋" w:hAnsi="仿宋" w:eastAsia="仿宋" w:cs="宋体"/>
          <w:sz w:val="28"/>
          <w:szCs w:val="28"/>
          <w:lang w:bidi="ar"/>
        </w:rPr>
        <w:t>完工情况</w:t>
      </w:r>
      <w:r>
        <w:rPr>
          <w:rFonts w:hint="eastAsia" w:ascii="仿宋" w:hAnsi="仿宋" w:eastAsia="仿宋" w:cs="宋体"/>
          <w:bCs/>
          <w:sz w:val="28"/>
          <w:szCs w:val="28"/>
        </w:rPr>
        <w:t>。“</w:t>
      </w:r>
      <w:r>
        <w:rPr>
          <w:rFonts w:hint="eastAsia" w:ascii="仿宋" w:hAnsi="仿宋" w:eastAsia="仿宋" w:cs="宋体"/>
          <w:sz w:val="28"/>
          <w:szCs w:val="28"/>
          <w:lang w:bidi="ar"/>
        </w:rPr>
        <w:t>项目完工率</w:t>
      </w:r>
      <w:r>
        <w:rPr>
          <w:rFonts w:hint="eastAsia" w:ascii="仿宋" w:hAnsi="仿宋" w:eastAsia="仿宋" w:cs="宋体"/>
          <w:bCs/>
          <w:sz w:val="28"/>
          <w:szCs w:val="28"/>
        </w:rPr>
        <w:t>”指标通过项目实际完成时间与计划完成时间的比较，用以反映和考核项目产出时效目标的实现程度。</w:t>
      </w:r>
    </w:p>
    <w:p>
      <w:pPr>
        <w:spacing w:line="520" w:lineRule="exact"/>
        <w:ind w:firstLine="560" w:firstLineChars="200"/>
        <w:rPr>
          <w:rFonts w:hint="eastAsia" w:ascii="仿宋" w:hAnsi="仿宋" w:eastAsia="仿宋" w:cs="宋体"/>
          <w:sz w:val="28"/>
          <w:szCs w:val="28"/>
          <w:lang w:val="en-US" w:eastAsia="zh-CN" w:bidi="ar"/>
        </w:rPr>
      </w:pPr>
      <w:r>
        <w:rPr>
          <w:rFonts w:hint="eastAsia" w:ascii="仿宋" w:hAnsi="仿宋" w:eastAsia="仿宋" w:cs="宋体"/>
          <w:sz w:val="28"/>
          <w:szCs w:val="28"/>
          <w:lang w:bidi="ar"/>
        </w:rPr>
        <w:t>根据核实</w:t>
      </w:r>
      <w:r>
        <w:rPr>
          <w:rFonts w:hint="eastAsia" w:ascii="仿宋" w:hAnsi="仿宋" w:eastAsia="仿宋" w:cs="宋体"/>
          <w:snapToGrid/>
          <w:color w:val="auto"/>
          <w:kern w:val="2"/>
          <w:sz w:val="28"/>
          <w:szCs w:val="28"/>
          <w:lang w:val="en-US" w:eastAsia="zh-CN" w:bidi="ar-SA"/>
        </w:rPr>
        <w:t>仓山区环境卫生中心</w:t>
      </w:r>
      <w:r>
        <w:rPr>
          <w:rFonts w:hint="eastAsia" w:ascii="仿宋" w:hAnsi="仿宋" w:eastAsia="仿宋" w:cs="宋体"/>
          <w:sz w:val="28"/>
          <w:szCs w:val="28"/>
          <w:lang w:bidi="ar"/>
        </w:rPr>
        <w:t>提供的相关材料，</w:t>
      </w:r>
      <w:r>
        <w:rPr>
          <w:rFonts w:hint="eastAsia" w:ascii="仿宋" w:hAnsi="仿宋" w:eastAsia="仿宋" w:cs="宋体"/>
          <w:sz w:val="28"/>
          <w:szCs w:val="28"/>
          <w:lang w:val="en-US" w:eastAsia="zh-CN" w:bidi="ar"/>
        </w:rPr>
        <w:t>道路清扫经费完成进度按合同条约执行，完成进度在95%以上，大于等于目标值95%，质量达标率为100.00%。</w:t>
      </w:r>
    </w:p>
    <w:p>
      <w:pPr>
        <w:spacing w:line="520" w:lineRule="exact"/>
        <w:ind w:firstLine="560" w:firstLineChars="200"/>
        <w:rPr>
          <w:rFonts w:hint="eastAsia" w:ascii="仿宋" w:hAnsi="仿宋" w:eastAsia="仿宋" w:cs="宋体"/>
          <w:sz w:val="28"/>
          <w:szCs w:val="28"/>
          <w:lang w:bidi="ar"/>
        </w:rPr>
      </w:pPr>
      <w:r>
        <w:rPr>
          <w:rFonts w:hint="eastAsia" w:ascii="仿宋" w:hAnsi="仿宋" w:eastAsia="仿宋" w:cs="宋体"/>
          <w:sz w:val="28"/>
          <w:szCs w:val="28"/>
        </w:rPr>
        <w:t>根据指标体系评分标准，结合对项目完成时效的综合考量，此项指标绩效评价综合得分</w:t>
      </w:r>
      <w:r>
        <w:rPr>
          <w:rFonts w:hint="eastAsia" w:ascii="仿宋" w:hAnsi="仿宋" w:eastAsia="仿宋" w:cs="宋体"/>
          <w:sz w:val="28"/>
          <w:szCs w:val="28"/>
          <w:lang w:bidi="ar"/>
        </w:rPr>
        <w:t>为</w:t>
      </w:r>
      <w:r>
        <w:rPr>
          <w:rFonts w:hint="eastAsia" w:ascii="仿宋" w:hAnsi="仿宋" w:eastAsia="仿宋" w:cs="宋体"/>
          <w:sz w:val="28"/>
          <w:szCs w:val="28"/>
          <w:lang w:val="en-US" w:eastAsia="zh-CN" w:bidi="ar"/>
        </w:rPr>
        <w:t>7</w:t>
      </w:r>
      <w:r>
        <w:rPr>
          <w:rFonts w:hint="eastAsia" w:ascii="仿宋" w:hAnsi="仿宋" w:eastAsia="仿宋" w:cs="宋体"/>
          <w:sz w:val="28"/>
          <w:szCs w:val="28"/>
          <w:lang w:bidi="ar"/>
        </w:rPr>
        <w:t>分。</w:t>
      </w:r>
      <w:bookmarkStart w:id="78" w:name="_Toc108549532"/>
    </w:p>
    <w:p>
      <w:pPr>
        <w:spacing w:line="520" w:lineRule="exact"/>
        <w:ind w:firstLine="562" w:firstLineChars="200"/>
        <w:rPr>
          <w:rFonts w:hint="eastAsia" w:ascii="仿宋" w:hAnsi="仿宋" w:eastAsia="仿宋" w:cs="宋体"/>
          <w:b/>
          <w:sz w:val="28"/>
          <w:szCs w:val="28"/>
        </w:rPr>
      </w:pPr>
    </w:p>
    <w:p>
      <w:pPr>
        <w:spacing w:line="520" w:lineRule="exact"/>
        <w:ind w:firstLine="562" w:firstLineChars="200"/>
        <w:rPr>
          <w:rFonts w:hint="eastAsia" w:ascii="仿宋" w:hAnsi="仿宋" w:eastAsia="仿宋" w:cs="宋体"/>
          <w:b/>
          <w:sz w:val="28"/>
          <w:szCs w:val="28"/>
        </w:rPr>
      </w:pPr>
    </w:p>
    <w:p>
      <w:pPr>
        <w:spacing w:line="520" w:lineRule="exact"/>
        <w:ind w:firstLine="562" w:firstLineChars="200"/>
        <w:rPr>
          <w:rFonts w:hint="eastAsia" w:ascii="仿宋" w:hAnsi="仿宋" w:eastAsia="仿宋" w:cs="宋体"/>
          <w:b/>
          <w:bCs/>
          <w:sz w:val="28"/>
          <w:szCs w:val="28"/>
          <w:lang w:bidi="ar"/>
        </w:rPr>
      </w:pPr>
      <w:r>
        <w:rPr>
          <w:rFonts w:hint="eastAsia" w:ascii="仿宋" w:hAnsi="仿宋" w:eastAsia="仿宋" w:cs="宋体"/>
          <w:b/>
          <w:sz w:val="28"/>
          <w:szCs w:val="28"/>
        </w:rPr>
        <w:t>4．产出成本</w:t>
      </w:r>
      <w:r>
        <w:rPr>
          <w:rFonts w:hint="eastAsia" w:ascii="仿宋" w:hAnsi="仿宋" w:eastAsia="仿宋" w:cs="宋体"/>
          <w:b/>
          <w:bCs/>
          <w:sz w:val="28"/>
          <w:szCs w:val="28"/>
          <w:lang w:bidi="ar"/>
        </w:rPr>
        <w:t>（满分7分，得分7分）</w:t>
      </w:r>
    </w:p>
    <w:p>
      <w:pPr>
        <w:spacing w:line="520" w:lineRule="exact"/>
        <w:ind w:firstLine="560" w:firstLineChars="200"/>
        <w:rPr>
          <w:rFonts w:hint="eastAsia" w:ascii="仿宋" w:hAnsi="仿宋" w:eastAsia="仿宋" w:cs="宋体"/>
          <w:bCs/>
          <w:sz w:val="28"/>
          <w:szCs w:val="28"/>
          <w:lang w:eastAsia="zh-CN"/>
        </w:rPr>
      </w:pPr>
      <w:r>
        <w:rPr>
          <w:rFonts w:hint="eastAsia" w:ascii="仿宋" w:hAnsi="仿宋" w:eastAsia="仿宋" w:cs="宋体"/>
          <w:sz w:val="28"/>
          <w:szCs w:val="28"/>
          <w:lang w:bidi="ar"/>
        </w:rPr>
        <w:t>产出成本指标主要评价项目成本节约情况。</w:t>
      </w:r>
      <w:r>
        <w:rPr>
          <w:rFonts w:hint="eastAsia" w:ascii="仿宋" w:hAnsi="仿宋" w:eastAsia="仿宋" w:cs="宋体"/>
          <w:bCs/>
          <w:sz w:val="28"/>
          <w:szCs w:val="28"/>
        </w:rPr>
        <w:t>“</w:t>
      </w:r>
      <w:r>
        <w:rPr>
          <w:rFonts w:hint="eastAsia" w:ascii="仿宋" w:hAnsi="仿宋" w:eastAsia="仿宋" w:cs="宋体"/>
          <w:sz w:val="28"/>
          <w:szCs w:val="28"/>
          <w:lang w:bidi="ar"/>
        </w:rPr>
        <w:t>成本节约率</w:t>
      </w:r>
      <w:r>
        <w:rPr>
          <w:rFonts w:hint="eastAsia" w:ascii="仿宋" w:hAnsi="仿宋" w:eastAsia="仿宋" w:cs="宋体"/>
          <w:bCs/>
          <w:sz w:val="28"/>
          <w:szCs w:val="28"/>
        </w:rPr>
        <w:t>”指标通过项目节约成本与计划成本的比率，用以</w:t>
      </w:r>
      <w:r>
        <w:rPr>
          <w:rFonts w:hint="eastAsia" w:ascii="仿宋" w:hAnsi="仿宋" w:eastAsia="仿宋" w:cs="宋体"/>
          <w:sz w:val="28"/>
          <w:szCs w:val="28"/>
          <w:lang w:bidi="ar"/>
        </w:rPr>
        <w:t>反映和考核项目产出成本目标的实现程度。</w:t>
      </w:r>
    </w:p>
    <w:p>
      <w:pPr>
        <w:spacing w:line="520" w:lineRule="exact"/>
        <w:ind w:firstLine="560" w:firstLineChars="200"/>
        <w:rPr>
          <w:rFonts w:hint="eastAsia" w:ascii="仿宋" w:hAnsi="仿宋" w:eastAsia="仿宋" w:cs="宋体"/>
          <w:bCs/>
          <w:sz w:val="28"/>
          <w:szCs w:val="28"/>
        </w:rPr>
      </w:pPr>
      <w:r>
        <w:rPr>
          <w:rFonts w:hint="eastAsia" w:ascii="仿宋" w:hAnsi="仿宋" w:eastAsia="仿宋" w:cs="宋体"/>
          <w:sz w:val="28"/>
          <w:szCs w:val="28"/>
          <w:lang w:bidi="ar"/>
        </w:rPr>
        <w:t>项目严格按照</w:t>
      </w:r>
      <w:r>
        <w:rPr>
          <w:rFonts w:hint="eastAsia" w:ascii="仿宋" w:hAnsi="仿宋" w:eastAsia="仿宋" w:cs="宋体"/>
          <w:bCs/>
          <w:sz w:val="28"/>
          <w:szCs w:val="28"/>
        </w:rPr>
        <w:t>文件要求，遵循“估算控制概算，概算控制预算”原则，项目</w:t>
      </w:r>
      <w:r>
        <w:rPr>
          <w:rFonts w:hint="eastAsia" w:ascii="仿宋" w:hAnsi="仿宋" w:eastAsia="仿宋" w:cs="宋体"/>
          <w:bCs/>
          <w:sz w:val="28"/>
          <w:szCs w:val="28"/>
          <w:lang w:val="en-US" w:eastAsia="zh-CN"/>
        </w:rPr>
        <w:t>预算</w:t>
      </w:r>
      <w:r>
        <w:rPr>
          <w:rFonts w:hint="eastAsia" w:ascii="仿宋" w:hAnsi="仿宋" w:eastAsia="仿宋" w:cs="宋体"/>
          <w:bCs/>
          <w:sz w:val="28"/>
          <w:szCs w:val="28"/>
        </w:rPr>
        <w:t>资金</w:t>
      </w:r>
      <w:r>
        <w:rPr>
          <w:rFonts w:hint="eastAsia" w:ascii="仿宋" w:hAnsi="仿宋" w:eastAsia="仿宋" w:cs="宋体"/>
          <w:bCs/>
          <w:sz w:val="28"/>
          <w:szCs w:val="28"/>
          <w:lang w:val="en-US" w:eastAsia="zh-CN"/>
        </w:rPr>
        <w:t>1924.00</w:t>
      </w:r>
      <w:r>
        <w:rPr>
          <w:rFonts w:hint="eastAsia" w:ascii="仿宋" w:hAnsi="仿宋" w:eastAsia="仿宋" w:cs="宋体"/>
          <w:bCs/>
          <w:sz w:val="28"/>
          <w:szCs w:val="28"/>
        </w:rPr>
        <w:t>万元，</w:t>
      </w:r>
      <w:r>
        <w:rPr>
          <w:rFonts w:hint="eastAsia" w:ascii="仿宋" w:hAnsi="仿宋" w:eastAsia="仿宋" w:cs="宋体"/>
          <w:bCs/>
          <w:sz w:val="28"/>
          <w:szCs w:val="28"/>
          <w:lang w:val="en-US" w:eastAsia="zh-CN"/>
        </w:rPr>
        <w:t>实际到位资金1924.00</w:t>
      </w:r>
      <w:r>
        <w:rPr>
          <w:rFonts w:hint="eastAsia" w:ascii="仿宋" w:hAnsi="仿宋" w:eastAsia="仿宋" w:cs="宋体"/>
          <w:bCs/>
          <w:sz w:val="28"/>
          <w:szCs w:val="28"/>
        </w:rPr>
        <w:t>万元</w:t>
      </w:r>
      <w:r>
        <w:rPr>
          <w:rFonts w:hint="eastAsia" w:ascii="仿宋" w:hAnsi="仿宋" w:eastAsia="仿宋" w:cs="宋体"/>
          <w:bCs/>
          <w:sz w:val="28"/>
          <w:szCs w:val="28"/>
          <w:lang w:eastAsia="zh-CN"/>
        </w:rPr>
        <w:t>，</w:t>
      </w:r>
      <w:r>
        <w:rPr>
          <w:rFonts w:hint="eastAsia" w:ascii="仿宋" w:hAnsi="仿宋" w:eastAsia="仿宋" w:cs="宋体"/>
          <w:bCs/>
          <w:sz w:val="28"/>
          <w:szCs w:val="28"/>
        </w:rPr>
        <w:t>实际支出</w:t>
      </w:r>
      <w:r>
        <w:rPr>
          <w:rFonts w:hint="eastAsia" w:ascii="仿宋" w:hAnsi="仿宋" w:eastAsia="仿宋" w:cs="宋体"/>
          <w:bCs/>
          <w:sz w:val="28"/>
          <w:szCs w:val="28"/>
          <w:lang w:val="en-US" w:eastAsia="zh-CN"/>
        </w:rPr>
        <w:t>1795.97</w:t>
      </w:r>
      <w:r>
        <w:rPr>
          <w:rFonts w:hint="eastAsia" w:ascii="仿宋" w:hAnsi="仿宋" w:eastAsia="仿宋" w:cs="宋体"/>
          <w:bCs/>
          <w:sz w:val="28"/>
          <w:szCs w:val="28"/>
        </w:rPr>
        <w:t>万元，</w:t>
      </w:r>
      <w:r>
        <w:rPr>
          <w:rFonts w:hint="eastAsia" w:ascii="仿宋" w:hAnsi="仿宋" w:eastAsia="仿宋" w:cs="宋体"/>
          <w:bCs/>
          <w:sz w:val="28"/>
          <w:szCs w:val="28"/>
          <w:lang w:val="en-US" w:eastAsia="zh-CN"/>
        </w:rPr>
        <w:t>成本节约为6.65%</w:t>
      </w:r>
      <w:r>
        <w:rPr>
          <w:rFonts w:hint="eastAsia" w:ascii="仿宋" w:hAnsi="仿宋" w:eastAsia="仿宋" w:cs="宋体"/>
          <w:bCs/>
          <w:sz w:val="28"/>
          <w:szCs w:val="28"/>
        </w:rPr>
        <w:t>。</w:t>
      </w:r>
    </w:p>
    <w:p>
      <w:pPr>
        <w:spacing w:line="520" w:lineRule="exact"/>
        <w:ind w:firstLine="560" w:firstLineChars="200"/>
        <w:rPr>
          <w:rFonts w:hint="eastAsia"/>
        </w:rPr>
      </w:pPr>
      <w:r>
        <w:rPr>
          <w:rFonts w:hint="eastAsia" w:ascii="仿宋" w:hAnsi="仿宋" w:eastAsia="仿宋" w:cs="宋体"/>
          <w:bCs/>
          <w:sz w:val="28"/>
          <w:szCs w:val="28"/>
        </w:rPr>
        <w:t>根据指标体系评分标准，此项指标绩效评价综合得分为</w:t>
      </w:r>
      <w:r>
        <w:rPr>
          <w:rFonts w:hint="eastAsia" w:ascii="仿宋" w:hAnsi="仿宋" w:eastAsia="仿宋" w:cs="宋体"/>
          <w:bCs/>
          <w:sz w:val="28"/>
          <w:szCs w:val="28"/>
          <w:lang w:val="en-US" w:eastAsia="zh-CN"/>
        </w:rPr>
        <w:t>7</w:t>
      </w:r>
      <w:r>
        <w:rPr>
          <w:rFonts w:hint="eastAsia" w:ascii="仿宋" w:hAnsi="仿宋" w:eastAsia="仿宋" w:cs="宋体"/>
          <w:bCs/>
          <w:sz w:val="28"/>
          <w:szCs w:val="28"/>
        </w:rPr>
        <w:t>分。</w:t>
      </w:r>
    </w:p>
    <w:p>
      <w:pPr>
        <w:pStyle w:val="15"/>
        <w:spacing w:line="360" w:lineRule="auto"/>
        <w:ind w:firstLine="562"/>
        <w:outlineLvl w:val="1"/>
        <w:rPr>
          <w:rFonts w:hint="eastAsia" w:ascii="楷体" w:hAnsi="楷体" w:eastAsia="楷体" w:cs="宋体"/>
          <w:b/>
          <w:szCs w:val="28"/>
        </w:rPr>
      </w:pPr>
      <w:bookmarkStart w:id="79" w:name="_Toc18404"/>
      <w:r>
        <w:rPr>
          <w:rFonts w:hint="eastAsia" w:ascii="楷体" w:hAnsi="楷体" w:eastAsia="楷体" w:cs="宋体"/>
          <w:b/>
          <w:bCs/>
          <w:szCs w:val="28"/>
        </w:rPr>
        <w:t>（四）项目效益情况</w:t>
      </w:r>
      <w:r>
        <w:rPr>
          <w:rFonts w:hint="eastAsia" w:ascii="楷体" w:hAnsi="楷体" w:eastAsia="楷体" w:cs="宋体"/>
          <w:b/>
          <w:szCs w:val="28"/>
        </w:rPr>
        <w:t>（满分</w:t>
      </w:r>
      <w:r>
        <w:rPr>
          <w:rFonts w:ascii="楷体" w:hAnsi="楷体" w:eastAsia="楷体" w:cs="宋体"/>
          <w:b/>
          <w:szCs w:val="28"/>
        </w:rPr>
        <w:t>3</w:t>
      </w:r>
      <w:r>
        <w:rPr>
          <w:rFonts w:hint="eastAsia" w:ascii="楷体" w:hAnsi="楷体" w:eastAsia="楷体" w:cs="宋体"/>
          <w:b/>
          <w:szCs w:val="28"/>
        </w:rPr>
        <w:t>0分，得分</w:t>
      </w:r>
      <w:r>
        <w:rPr>
          <w:rFonts w:hint="eastAsia" w:ascii="楷体" w:hAnsi="楷体" w:eastAsia="楷体" w:cs="宋体"/>
          <w:b/>
          <w:szCs w:val="28"/>
          <w:highlight w:val="none"/>
          <w:lang w:val="en-US" w:eastAsia="zh-CN"/>
        </w:rPr>
        <w:t>27.09</w:t>
      </w:r>
      <w:r>
        <w:rPr>
          <w:rFonts w:hint="eastAsia" w:ascii="楷体" w:hAnsi="楷体" w:eastAsia="楷体" w:cs="宋体"/>
          <w:b/>
          <w:szCs w:val="28"/>
          <w:highlight w:val="none"/>
        </w:rPr>
        <w:t>分</w:t>
      </w:r>
      <w:r>
        <w:rPr>
          <w:rFonts w:hint="eastAsia" w:ascii="楷体" w:hAnsi="楷体" w:eastAsia="楷体" w:cs="宋体"/>
          <w:b/>
          <w:szCs w:val="28"/>
        </w:rPr>
        <w:t>）</w:t>
      </w:r>
      <w:bookmarkEnd w:id="78"/>
      <w:bookmarkEnd w:id="79"/>
    </w:p>
    <w:p>
      <w:pPr>
        <w:pStyle w:val="15"/>
        <w:adjustRightInd w:val="0"/>
        <w:snapToGrid w:val="0"/>
        <w:spacing w:line="520" w:lineRule="exact"/>
        <w:ind w:firstLine="562" w:firstLineChars="200"/>
        <w:outlineLvl w:val="9"/>
        <w:rPr>
          <w:rFonts w:hint="eastAsia" w:ascii="仿宋" w:hAnsi="仿宋" w:eastAsia="仿宋" w:cs="宋体"/>
          <w:b/>
          <w:bCs/>
          <w:szCs w:val="28"/>
          <w:highlight w:val="none"/>
        </w:rPr>
      </w:pPr>
      <w:r>
        <w:rPr>
          <w:rFonts w:hint="eastAsia" w:ascii="仿宋" w:hAnsi="仿宋" w:eastAsia="仿宋" w:cs="宋体"/>
          <w:b/>
          <w:bCs/>
          <w:szCs w:val="28"/>
          <w:highlight w:val="none"/>
        </w:rPr>
        <w:t>1．经济效益</w:t>
      </w:r>
      <w:r>
        <w:rPr>
          <w:rFonts w:hint="eastAsia" w:ascii="仿宋" w:hAnsi="仿宋" w:eastAsia="仿宋" w:cs="宋体"/>
          <w:b/>
          <w:szCs w:val="28"/>
          <w:highlight w:val="none"/>
        </w:rPr>
        <w:t>（</w:t>
      </w:r>
      <w:r>
        <w:rPr>
          <w:rFonts w:hint="eastAsia" w:ascii="仿宋" w:hAnsi="仿宋" w:eastAsia="仿宋" w:cs="宋体"/>
          <w:b/>
          <w:bCs/>
          <w:szCs w:val="28"/>
          <w:highlight w:val="none"/>
          <w:lang w:bidi="ar"/>
        </w:rPr>
        <w:t>满分4分，</w:t>
      </w:r>
      <w:r>
        <w:rPr>
          <w:rFonts w:hint="eastAsia" w:ascii="仿宋" w:hAnsi="仿宋" w:eastAsia="仿宋" w:cs="宋体"/>
          <w:b/>
          <w:bCs/>
          <w:szCs w:val="28"/>
          <w:highlight w:val="none"/>
        </w:rPr>
        <w:t>得分</w:t>
      </w:r>
      <w:r>
        <w:rPr>
          <w:rFonts w:hint="eastAsia" w:ascii="仿宋" w:hAnsi="仿宋" w:eastAsia="仿宋" w:cs="宋体"/>
          <w:b/>
          <w:szCs w:val="28"/>
          <w:highlight w:val="none"/>
        </w:rPr>
        <w:t>4分）</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default" w:ascii="仿宋" w:hAnsi="仿宋" w:eastAsia="仿宋" w:cs="宋体"/>
          <w:sz w:val="28"/>
          <w:szCs w:val="28"/>
          <w:lang w:val="en-US" w:eastAsia="zh-CN"/>
        </w:rPr>
      </w:pPr>
      <w:r>
        <w:rPr>
          <w:rFonts w:hint="eastAsia" w:ascii="仿宋" w:hAnsi="仿宋" w:eastAsia="仿宋" w:cs="宋体"/>
          <w:sz w:val="28"/>
          <w:szCs w:val="28"/>
        </w:rPr>
        <w:t>通过项目的实施，保障各项职能顺利贯彻实施，在预算范围内精打细</w:t>
      </w:r>
      <w:r>
        <w:rPr>
          <w:rFonts w:hint="eastAsia" w:ascii="仿宋" w:hAnsi="仿宋" w:eastAsia="仿宋" w:cs="宋体"/>
          <w:sz w:val="28"/>
          <w:szCs w:val="28"/>
          <w:lang w:val="en-US" w:eastAsia="zh-CN"/>
        </w:rPr>
        <w:t>算，</w:t>
      </w:r>
      <w:r>
        <w:rPr>
          <w:rFonts w:hint="eastAsia" w:ascii="仿宋" w:hAnsi="仿宋" w:eastAsia="仿宋" w:cs="宋体"/>
          <w:sz w:val="28"/>
          <w:szCs w:val="28"/>
        </w:rPr>
        <w:t>节约开支</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保证了仓山区卫生条件达到城管委要求的精细化作业标准，提高群众宜居环境。做到路面无油渍、街道整洁、公厕干净、垃圾及时清理和运输、无裸露垃圾及果皮纸屑。</w:t>
      </w:r>
    </w:p>
    <w:p>
      <w:pPr>
        <w:keepNext w:val="0"/>
        <w:keepLines w:val="0"/>
        <w:pageBreakBefore w:val="0"/>
        <w:widowControl/>
        <w:kinsoku w:val="0"/>
        <w:wordWrap/>
        <w:overflowPunct/>
        <w:topLinePunct w:val="0"/>
        <w:autoSpaceDE w:val="0"/>
        <w:autoSpaceDN w:val="0"/>
        <w:bidi w:val="0"/>
        <w:adjustRightInd w:val="0"/>
        <w:snapToGrid w:val="0"/>
        <w:spacing w:line="520" w:lineRule="exact"/>
        <w:ind w:firstLine="560" w:firstLineChars="200"/>
        <w:textAlignment w:val="baseline"/>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根据指标体系评分标准，此项指标绩效评价综合得分为</w:t>
      </w:r>
      <w:r>
        <w:rPr>
          <w:rFonts w:hint="eastAsia" w:ascii="仿宋" w:hAnsi="仿宋" w:eastAsia="仿宋" w:cs="宋体"/>
          <w:sz w:val="28"/>
          <w:szCs w:val="28"/>
          <w:lang w:val="en-US" w:eastAsia="zh-CN"/>
        </w:rPr>
        <w:t>4</w:t>
      </w:r>
      <w:r>
        <w:rPr>
          <w:rFonts w:hint="eastAsia" w:ascii="仿宋" w:hAnsi="仿宋" w:eastAsia="仿宋" w:cs="宋体"/>
          <w:sz w:val="28"/>
          <w:szCs w:val="28"/>
        </w:rPr>
        <w:t>分。</w:t>
      </w:r>
    </w:p>
    <w:p>
      <w:pPr>
        <w:pStyle w:val="15"/>
        <w:adjustRightInd w:val="0"/>
        <w:snapToGrid w:val="0"/>
        <w:spacing w:line="520" w:lineRule="exact"/>
        <w:ind w:firstLine="562" w:firstLineChars="200"/>
        <w:outlineLvl w:val="9"/>
        <w:rPr>
          <w:rFonts w:hint="eastAsia" w:ascii="仿宋" w:hAnsi="仿宋" w:eastAsia="仿宋" w:cs="宋体"/>
          <w:szCs w:val="28"/>
        </w:rPr>
      </w:pPr>
      <w:r>
        <w:rPr>
          <w:rFonts w:hint="eastAsia" w:ascii="仿宋" w:hAnsi="仿宋" w:eastAsia="仿宋" w:cs="宋体"/>
          <w:b/>
          <w:bCs/>
          <w:szCs w:val="28"/>
        </w:rPr>
        <w:t>2．社会效益</w:t>
      </w:r>
      <w:r>
        <w:rPr>
          <w:rFonts w:hint="eastAsia" w:ascii="仿宋" w:hAnsi="仿宋" w:eastAsia="仿宋" w:cs="宋体"/>
          <w:b/>
          <w:szCs w:val="28"/>
        </w:rPr>
        <w:t>（</w:t>
      </w:r>
      <w:r>
        <w:rPr>
          <w:rFonts w:hint="eastAsia" w:ascii="仿宋" w:hAnsi="仿宋" w:eastAsia="仿宋" w:cs="宋体"/>
          <w:b/>
          <w:bCs/>
          <w:szCs w:val="28"/>
          <w:lang w:bidi="ar"/>
        </w:rPr>
        <w:t>满分12分，</w:t>
      </w:r>
      <w:r>
        <w:rPr>
          <w:rFonts w:hint="eastAsia" w:ascii="仿宋" w:hAnsi="仿宋" w:eastAsia="仿宋" w:cs="宋体"/>
          <w:b/>
          <w:bCs/>
          <w:szCs w:val="28"/>
        </w:rPr>
        <w:t>得分</w:t>
      </w:r>
      <w:r>
        <w:rPr>
          <w:rFonts w:hint="eastAsia" w:ascii="仿宋" w:hAnsi="仿宋" w:eastAsia="仿宋" w:cs="宋体"/>
          <w:b/>
          <w:szCs w:val="28"/>
        </w:rPr>
        <w:t>1</w:t>
      </w:r>
      <w:r>
        <w:rPr>
          <w:rFonts w:hint="eastAsia" w:ascii="仿宋" w:hAnsi="仿宋" w:eastAsia="仿宋" w:cs="宋体"/>
          <w:b/>
          <w:szCs w:val="28"/>
          <w:lang w:val="en-US" w:eastAsia="zh-CN"/>
        </w:rPr>
        <w:t>1</w:t>
      </w:r>
      <w:r>
        <w:rPr>
          <w:rFonts w:hint="eastAsia" w:ascii="仿宋" w:hAnsi="仿宋" w:eastAsia="仿宋" w:cs="宋体"/>
          <w:b/>
          <w:szCs w:val="28"/>
        </w:rPr>
        <w:t>分）</w:t>
      </w:r>
    </w:p>
    <w:p>
      <w:pPr>
        <w:pStyle w:val="1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ascii="仿宋" w:hAnsi="仿宋" w:eastAsia="仿宋" w:cs="宋体"/>
          <w:snapToGrid/>
          <w:color w:val="auto"/>
          <w:kern w:val="2"/>
          <w:sz w:val="28"/>
          <w:szCs w:val="28"/>
          <w:highlight w:val="none"/>
          <w:lang w:val="en-US" w:eastAsia="zh-CN" w:bidi="ar-SA"/>
        </w:rPr>
      </w:pPr>
      <w:r>
        <w:rPr>
          <w:rFonts w:hint="eastAsia" w:ascii="仿宋" w:hAnsi="仿宋" w:eastAsia="仿宋" w:cs="宋体"/>
          <w:sz w:val="28"/>
          <w:szCs w:val="28"/>
          <w:lang w:val="en-US" w:eastAsia="zh-CN"/>
        </w:rPr>
        <w:t>2023年</w:t>
      </w:r>
      <w:r>
        <w:rPr>
          <w:rFonts w:hint="eastAsia" w:ascii="仿宋" w:hAnsi="仿宋" w:eastAsia="仿宋" w:cs="宋体"/>
          <w:snapToGrid/>
          <w:color w:val="auto"/>
          <w:kern w:val="2"/>
          <w:sz w:val="28"/>
          <w:szCs w:val="28"/>
          <w:lang w:val="en-US" w:eastAsia="zh-CN" w:bidi="ar-SA"/>
        </w:rPr>
        <w:t>仓山区环境卫生中心道路清扫经费项目的实施，道路清扫范围覆盖13个街镇，为13个街镇提供了卫生服务保障，目标值为13个街镇，达标率为1</w:t>
      </w:r>
      <w:r>
        <w:rPr>
          <w:rFonts w:hint="eastAsia" w:ascii="仿宋" w:hAnsi="仿宋" w:eastAsia="仿宋" w:cs="宋体"/>
          <w:snapToGrid/>
          <w:color w:val="auto"/>
          <w:kern w:val="2"/>
          <w:sz w:val="28"/>
          <w:szCs w:val="28"/>
          <w:highlight w:val="none"/>
          <w:lang w:val="en-US" w:eastAsia="zh-CN" w:bidi="ar-SA"/>
        </w:rPr>
        <w:t>00.00%；同时为社会公众提供了就业岗位，根据单位提供的材料，在岗就业环卫工人80%为保洁路段附近居民或村民；在项目进行期间，进行了4次的爱护环境卫生宣传活动，整治卫生死角，维护市容秩序，大于目标值3次，达标率为100.00%；保障了环卫工人的劳保、工资、社保等待遇，发放标准以中标合同为准，在项目进行期间未进行过提升。</w:t>
      </w:r>
    </w:p>
    <w:p>
      <w:pPr>
        <w:pStyle w:val="15"/>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textAlignment w:val="auto"/>
        <w:rPr>
          <w:rFonts w:hint="eastAsia"/>
        </w:rPr>
      </w:pPr>
      <w:r>
        <w:rPr>
          <w:rFonts w:hint="eastAsia" w:ascii="仿宋" w:hAnsi="仿宋" w:eastAsia="仿宋" w:cs="宋体"/>
          <w:bCs/>
          <w:szCs w:val="28"/>
          <w:highlight w:val="none"/>
        </w:rPr>
        <w:t>根据指标体系评分标准，此项指标绩效评价综合得分为</w:t>
      </w:r>
      <w:r>
        <w:rPr>
          <w:rFonts w:hint="eastAsia" w:ascii="仿宋" w:hAnsi="仿宋" w:eastAsia="仿宋" w:cs="宋体"/>
          <w:bCs/>
          <w:szCs w:val="28"/>
          <w:highlight w:val="none"/>
          <w:lang w:val="en-US" w:eastAsia="zh-CN"/>
        </w:rPr>
        <w:t>11</w:t>
      </w:r>
      <w:r>
        <w:rPr>
          <w:rFonts w:hint="eastAsia" w:ascii="仿宋" w:hAnsi="仿宋" w:eastAsia="仿宋" w:cs="宋体"/>
          <w:bCs/>
          <w:szCs w:val="28"/>
          <w:highlight w:val="none"/>
        </w:rPr>
        <w:t>分</w:t>
      </w:r>
      <w:r>
        <w:rPr>
          <w:rFonts w:hint="eastAsia" w:ascii="仿宋" w:hAnsi="仿宋" w:eastAsia="仿宋" w:cs="宋体"/>
          <w:bCs/>
          <w:szCs w:val="28"/>
        </w:rPr>
        <w:t>。</w:t>
      </w:r>
    </w:p>
    <w:p>
      <w:pPr>
        <w:pStyle w:val="15"/>
        <w:adjustRightInd w:val="0"/>
        <w:snapToGrid w:val="0"/>
        <w:spacing w:line="520" w:lineRule="exact"/>
        <w:ind w:firstLine="562" w:firstLineChars="200"/>
        <w:outlineLvl w:val="9"/>
        <w:rPr>
          <w:rFonts w:hint="eastAsia" w:ascii="仿宋" w:hAnsi="仿宋" w:eastAsia="仿宋" w:cs="宋体"/>
          <w:b/>
          <w:szCs w:val="28"/>
        </w:rPr>
      </w:pPr>
      <w:r>
        <w:rPr>
          <w:rFonts w:hint="eastAsia" w:ascii="仿宋" w:hAnsi="仿宋" w:eastAsia="仿宋" w:cs="宋体"/>
          <w:b/>
          <w:bCs/>
          <w:szCs w:val="28"/>
        </w:rPr>
        <w:t>3．生态效益</w:t>
      </w:r>
      <w:r>
        <w:rPr>
          <w:rFonts w:hint="eastAsia" w:ascii="仿宋" w:hAnsi="仿宋" w:eastAsia="仿宋" w:cs="宋体"/>
          <w:b/>
          <w:szCs w:val="28"/>
        </w:rPr>
        <w:t>（</w:t>
      </w:r>
      <w:r>
        <w:rPr>
          <w:rFonts w:hint="eastAsia" w:ascii="仿宋" w:hAnsi="仿宋" w:eastAsia="仿宋" w:cs="宋体"/>
          <w:b/>
          <w:bCs/>
          <w:szCs w:val="28"/>
          <w:lang w:bidi="ar"/>
        </w:rPr>
        <w:t>满分4分，</w:t>
      </w:r>
      <w:r>
        <w:rPr>
          <w:rFonts w:hint="eastAsia" w:ascii="仿宋" w:hAnsi="仿宋" w:eastAsia="仿宋" w:cs="宋体"/>
          <w:b/>
          <w:bCs/>
          <w:szCs w:val="28"/>
        </w:rPr>
        <w:t>得分</w:t>
      </w:r>
      <w:r>
        <w:rPr>
          <w:rFonts w:hint="eastAsia" w:ascii="仿宋" w:hAnsi="仿宋" w:eastAsia="仿宋" w:cs="宋体"/>
          <w:b/>
          <w:bCs/>
          <w:szCs w:val="28"/>
          <w:lang w:val="en-US" w:eastAsia="zh-CN"/>
        </w:rPr>
        <w:t>3</w:t>
      </w:r>
      <w:r>
        <w:rPr>
          <w:rFonts w:hint="eastAsia" w:ascii="仿宋" w:hAnsi="仿宋" w:eastAsia="仿宋" w:cs="宋体"/>
          <w:b/>
          <w:szCs w:val="28"/>
        </w:rPr>
        <w:t>分）</w:t>
      </w:r>
    </w:p>
    <w:p>
      <w:pPr>
        <w:pStyle w:val="15"/>
        <w:adjustRightInd w:val="0"/>
        <w:snapToGrid w:val="0"/>
        <w:spacing w:line="520" w:lineRule="exact"/>
        <w:ind w:firstLine="490" w:firstLineChars="175"/>
        <w:rPr>
          <w:rFonts w:hint="eastAsia" w:ascii="仿宋" w:hAnsi="仿宋" w:eastAsia="仿宋" w:cs="宋体"/>
          <w:bCs/>
          <w:szCs w:val="28"/>
        </w:rPr>
      </w:pPr>
      <w:r>
        <w:rPr>
          <w:rFonts w:hint="eastAsia" w:ascii="仿宋" w:hAnsi="仿宋" w:eastAsia="仿宋" w:cs="宋体"/>
          <w:bCs/>
          <w:szCs w:val="28"/>
        </w:rPr>
        <w:t>地面无垃圾、油污，垃圾果皮桶布置合理并及时清理，</w:t>
      </w:r>
      <w:r>
        <w:rPr>
          <w:rFonts w:hint="eastAsia" w:ascii="仿宋" w:hAnsi="仿宋" w:eastAsia="仿宋" w:cs="宋体"/>
          <w:bCs/>
          <w:szCs w:val="28"/>
          <w:lang w:val="en-US" w:eastAsia="zh-CN"/>
        </w:rPr>
        <w:t>街道保持整洁，</w:t>
      </w:r>
      <w:r>
        <w:rPr>
          <w:rFonts w:hint="eastAsia" w:ascii="仿宋" w:hAnsi="仿宋" w:eastAsia="仿宋" w:cs="宋体"/>
          <w:bCs/>
          <w:szCs w:val="28"/>
        </w:rPr>
        <w:t>公共厕所保持整洁，城市垃圾及时清运。</w:t>
      </w:r>
    </w:p>
    <w:p>
      <w:pPr>
        <w:pStyle w:val="15"/>
        <w:adjustRightInd w:val="0"/>
        <w:snapToGrid w:val="0"/>
        <w:spacing w:line="520" w:lineRule="exact"/>
        <w:ind w:firstLine="490" w:firstLineChars="175"/>
        <w:rPr>
          <w:rFonts w:hint="eastAsia" w:ascii="仿宋" w:hAnsi="仿宋" w:eastAsia="仿宋" w:cs="宋体"/>
          <w:bCs/>
          <w:szCs w:val="28"/>
        </w:rPr>
      </w:pPr>
      <w:r>
        <w:rPr>
          <w:rFonts w:hint="eastAsia" w:ascii="仿宋" w:hAnsi="仿宋" w:eastAsia="仿宋" w:cs="宋体"/>
          <w:bCs/>
          <w:szCs w:val="28"/>
        </w:rPr>
        <w:t>根据指标体系评分标准，此项指标绩效评价综合得分为</w:t>
      </w:r>
      <w:r>
        <w:rPr>
          <w:rFonts w:hint="eastAsia" w:ascii="仿宋" w:hAnsi="仿宋" w:eastAsia="仿宋" w:cs="宋体"/>
          <w:bCs/>
          <w:szCs w:val="28"/>
          <w:lang w:val="en-US" w:eastAsia="zh-CN"/>
        </w:rPr>
        <w:t>3</w:t>
      </w:r>
      <w:r>
        <w:rPr>
          <w:rFonts w:hint="eastAsia" w:ascii="仿宋" w:hAnsi="仿宋" w:eastAsia="仿宋" w:cs="宋体"/>
          <w:bCs/>
          <w:szCs w:val="28"/>
        </w:rPr>
        <w:t>分。</w:t>
      </w:r>
    </w:p>
    <w:p>
      <w:pPr>
        <w:spacing w:line="520" w:lineRule="exact"/>
        <w:ind w:firstLine="562" w:firstLineChars="200"/>
        <w:outlineLvl w:val="9"/>
        <w:rPr>
          <w:rFonts w:hint="eastAsia" w:ascii="仿宋" w:hAnsi="仿宋" w:eastAsia="仿宋" w:cs="宋体"/>
          <w:sz w:val="28"/>
          <w:szCs w:val="28"/>
        </w:rPr>
      </w:pPr>
      <w:r>
        <w:rPr>
          <w:rFonts w:hint="eastAsia" w:ascii="仿宋" w:hAnsi="仿宋" w:eastAsia="仿宋" w:cs="宋体"/>
          <w:b/>
          <w:bCs/>
          <w:sz w:val="28"/>
          <w:szCs w:val="28"/>
        </w:rPr>
        <w:t>4．可持续影响</w:t>
      </w:r>
      <w:r>
        <w:rPr>
          <w:rFonts w:hint="eastAsia" w:ascii="仿宋" w:hAnsi="仿宋" w:eastAsia="仿宋" w:cs="宋体"/>
          <w:b/>
          <w:sz w:val="28"/>
          <w:szCs w:val="28"/>
        </w:rPr>
        <w:t>（</w:t>
      </w:r>
      <w:r>
        <w:rPr>
          <w:rFonts w:hint="eastAsia" w:ascii="仿宋" w:hAnsi="仿宋" w:eastAsia="仿宋" w:cs="宋体"/>
          <w:b/>
          <w:bCs/>
          <w:sz w:val="28"/>
          <w:szCs w:val="28"/>
          <w:lang w:bidi="ar"/>
        </w:rPr>
        <w:t>满分5分，</w:t>
      </w:r>
      <w:r>
        <w:rPr>
          <w:rFonts w:hint="eastAsia" w:ascii="仿宋" w:hAnsi="仿宋" w:eastAsia="仿宋" w:cs="宋体"/>
          <w:b/>
          <w:bCs/>
          <w:sz w:val="28"/>
          <w:szCs w:val="28"/>
        </w:rPr>
        <w:t>得分</w:t>
      </w:r>
      <w:r>
        <w:rPr>
          <w:rFonts w:hint="eastAsia" w:ascii="仿宋" w:hAnsi="仿宋" w:eastAsia="仿宋" w:cs="宋体"/>
          <w:b/>
          <w:sz w:val="28"/>
          <w:szCs w:val="28"/>
        </w:rPr>
        <w:t>5分）</w:t>
      </w:r>
    </w:p>
    <w:p>
      <w:pPr>
        <w:spacing w:line="520" w:lineRule="exact"/>
        <w:ind w:firstLine="560" w:firstLineChars="200"/>
        <w:rPr>
          <w:rFonts w:hint="eastAsia" w:ascii="仿宋" w:hAnsi="仿宋" w:eastAsia="仿宋" w:cs="宋体"/>
          <w:sz w:val="28"/>
          <w:szCs w:val="28"/>
          <w:lang w:eastAsia="zh-CN"/>
        </w:rPr>
      </w:pPr>
      <w:r>
        <w:rPr>
          <w:rFonts w:hint="eastAsia" w:ascii="仿宋" w:hAnsi="仿宋" w:eastAsia="仿宋" w:cs="宋体"/>
          <w:sz w:val="28"/>
          <w:szCs w:val="28"/>
          <w:lang w:val="en-US" w:eastAsia="zh-CN"/>
        </w:rPr>
        <w:t>2023年</w:t>
      </w:r>
      <w:r>
        <w:rPr>
          <w:rFonts w:hint="eastAsia" w:ascii="仿宋" w:hAnsi="仿宋" w:eastAsia="仿宋" w:cs="宋体"/>
          <w:snapToGrid/>
          <w:color w:val="auto"/>
          <w:kern w:val="2"/>
          <w:sz w:val="28"/>
          <w:szCs w:val="28"/>
          <w:lang w:val="en-US" w:eastAsia="zh-CN" w:bidi="ar-SA"/>
        </w:rPr>
        <w:t>仓山区环境卫生中心道路清扫经费项目的实施使仓山区</w:t>
      </w:r>
      <w:r>
        <w:rPr>
          <w:rFonts w:hint="eastAsia" w:ascii="仿宋" w:hAnsi="仿宋" w:eastAsia="仿宋" w:cs="宋体"/>
          <w:sz w:val="28"/>
          <w:szCs w:val="28"/>
        </w:rPr>
        <w:t>环境卫生得到持续维护，市容市貌持续改善</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承担了仓山区18次重要活动的卫生保障工作</w:t>
      </w: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道路清扫经费项目执行所依赖的政策制度能持续执行</w:t>
      </w:r>
      <w:r>
        <w:rPr>
          <w:rFonts w:hint="eastAsia" w:ascii="仿宋" w:hAnsi="仿宋" w:eastAsia="仿宋" w:cs="宋体"/>
          <w:sz w:val="28"/>
          <w:szCs w:val="28"/>
          <w:lang w:eastAsia="zh-CN"/>
        </w:rPr>
        <w:t>。</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sz w:val="28"/>
          <w:szCs w:val="28"/>
        </w:rPr>
        <w:t>根据指标体系评分标准，此项指标绩效评价综合得分为5分。</w:t>
      </w:r>
    </w:p>
    <w:p>
      <w:pPr>
        <w:keepNext/>
        <w:keepLines/>
        <w:spacing w:line="520" w:lineRule="exact"/>
        <w:ind w:left="482" w:leftChars="0"/>
        <w:outlineLvl w:val="9"/>
        <w:rPr>
          <w:rFonts w:hint="eastAsia" w:ascii="仿宋" w:hAnsi="仿宋" w:eastAsia="仿宋" w:cs="宋体"/>
          <w:b/>
          <w:sz w:val="28"/>
          <w:szCs w:val="28"/>
        </w:rPr>
      </w:pPr>
      <w:r>
        <w:rPr>
          <w:rFonts w:hint="eastAsia" w:ascii="仿宋" w:hAnsi="仿宋" w:eastAsia="仿宋" w:cs="宋体"/>
          <w:b/>
          <w:bCs/>
          <w:sz w:val="28"/>
          <w:szCs w:val="28"/>
        </w:rPr>
        <w:t>5．服务对象满意</w:t>
      </w:r>
      <w:r>
        <w:rPr>
          <w:rFonts w:hint="eastAsia" w:ascii="仿宋" w:hAnsi="仿宋" w:eastAsia="仿宋" w:cs="宋体"/>
          <w:b/>
          <w:sz w:val="28"/>
          <w:szCs w:val="28"/>
        </w:rPr>
        <w:t>度（满分5分，评价得分4.</w:t>
      </w:r>
      <w:r>
        <w:rPr>
          <w:rFonts w:hint="eastAsia" w:ascii="仿宋" w:hAnsi="仿宋" w:eastAsia="仿宋" w:cs="宋体"/>
          <w:b/>
          <w:sz w:val="28"/>
          <w:szCs w:val="28"/>
          <w:lang w:val="en-US" w:eastAsia="zh-CN"/>
        </w:rPr>
        <w:t>09</w:t>
      </w:r>
      <w:r>
        <w:rPr>
          <w:rFonts w:hint="eastAsia" w:ascii="仿宋" w:hAnsi="仿宋" w:eastAsia="仿宋" w:cs="宋体"/>
          <w:b/>
          <w:sz w:val="28"/>
          <w:szCs w:val="28"/>
        </w:rPr>
        <w:t>分）</w:t>
      </w:r>
    </w:p>
    <w:p>
      <w:pPr>
        <w:spacing w:line="520" w:lineRule="exact"/>
        <w:ind w:firstLine="548" w:firstLineChars="196"/>
        <w:rPr>
          <w:rFonts w:hint="eastAsia" w:ascii="仿宋" w:hAnsi="仿宋" w:eastAsia="仿宋" w:cs="宋体"/>
          <w:color w:val="FF0000"/>
          <w:sz w:val="28"/>
          <w:szCs w:val="28"/>
          <w:highlight w:val="none"/>
        </w:rPr>
      </w:pPr>
      <w:bookmarkStart w:id="80" w:name="_Toc26774630"/>
      <w:r>
        <w:rPr>
          <w:rFonts w:hint="eastAsia" w:ascii="仿宋" w:hAnsi="仿宋" w:eastAsia="仿宋" w:cs="宋体"/>
          <w:sz w:val="28"/>
          <w:szCs w:val="28"/>
        </w:rPr>
        <w:t>绩效评价小组制定了《</w:t>
      </w:r>
      <w:r>
        <w:rPr>
          <w:rFonts w:hint="eastAsia" w:ascii="仿宋" w:hAnsi="仿宋" w:eastAsia="仿宋" w:cs="宋体"/>
          <w:sz w:val="28"/>
          <w:szCs w:val="28"/>
          <w:lang w:eastAsia="zh-CN"/>
        </w:rPr>
        <w:t>福州市仓山区环境卫生中心</w:t>
      </w:r>
      <w:r>
        <w:rPr>
          <w:rFonts w:hint="eastAsia" w:ascii="仿宋" w:hAnsi="仿宋" w:eastAsia="仿宋" w:cs="宋体"/>
          <w:sz w:val="28"/>
          <w:szCs w:val="28"/>
        </w:rPr>
        <w:t>2023年度</w:t>
      </w:r>
      <w:r>
        <w:rPr>
          <w:rFonts w:hint="eastAsia" w:ascii="仿宋" w:hAnsi="仿宋" w:eastAsia="仿宋" w:cs="宋体"/>
          <w:sz w:val="28"/>
          <w:szCs w:val="28"/>
          <w:lang w:eastAsia="zh-CN"/>
        </w:rPr>
        <w:t>道路清扫经费资金项目支出</w:t>
      </w:r>
      <w:r>
        <w:rPr>
          <w:rFonts w:hint="eastAsia" w:ascii="仿宋" w:hAnsi="仿宋" w:eastAsia="仿宋" w:cs="宋体"/>
          <w:sz w:val="28"/>
          <w:szCs w:val="28"/>
        </w:rPr>
        <w:t>受益对象满</w:t>
      </w:r>
      <w:r>
        <w:rPr>
          <w:rFonts w:hint="eastAsia" w:ascii="仿宋" w:hAnsi="仿宋" w:eastAsia="仿宋" w:cs="宋体"/>
          <w:sz w:val="28"/>
          <w:szCs w:val="28"/>
          <w:highlight w:val="none"/>
        </w:rPr>
        <w:t>意度调查问卷》，通过“线上+线下”相结合的方式对项目实施情况进行满意度问卷调查，共回收问卷</w:t>
      </w:r>
      <w:r>
        <w:rPr>
          <w:rFonts w:hint="eastAsia" w:ascii="仿宋" w:hAnsi="仿宋" w:eastAsia="仿宋" w:cs="宋体"/>
          <w:sz w:val="28"/>
          <w:szCs w:val="28"/>
          <w:highlight w:val="none"/>
          <w:lang w:val="en-US" w:eastAsia="zh-CN"/>
        </w:rPr>
        <w:t>50</w:t>
      </w:r>
      <w:r>
        <w:rPr>
          <w:rFonts w:hint="eastAsia" w:ascii="仿宋" w:hAnsi="仿宋" w:eastAsia="仿宋" w:cs="宋体"/>
          <w:sz w:val="28"/>
          <w:szCs w:val="28"/>
          <w:highlight w:val="none"/>
        </w:rPr>
        <w:t>份，其中有效问卷</w:t>
      </w:r>
      <w:r>
        <w:rPr>
          <w:rFonts w:hint="eastAsia" w:ascii="仿宋" w:hAnsi="仿宋" w:eastAsia="仿宋" w:cs="宋体"/>
          <w:sz w:val="28"/>
          <w:szCs w:val="28"/>
          <w:highlight w:val="none"/>
          <w:lang w:val="en-US" w:eastAsia="zh-CN"/>
        </w:rPr>
        <w:t>50</w:t>
      </w:r>
      <w:r>
        <w:rPr>
          <w:rFonts w:hint="eastAsia" w:ascii="仿宋" w:hAnsi="仿宋" w:eastAsia="仿宋" w:cs="宋体"/>
          <w:sz w:val="28"/>
          <w:szCs w:val="28"/>
          <w:highlight w:val="none"/>
        </w:rPr>
        <w:t>份，有效问卷回收率为</w:t>
      </w:r>
      <w:r>
        <w:rPr>
          <w:rFonts w:hint="eastAsia" w:ascii="仿宋" w:hAnsi="仿宋" w:eastAsia="仿宋" w:cs="宋体"/>
          <w:sz w:val="28"/>
          <w:szCs w:val="28"/>
          <w:highlight w:val="none"/>
          <w:lang w:val="en-US" w:eastAsia="zh-CN"/>
        </w:rPr>
        <w:t>100.00</w:t>
      </w:r>
      <w:r>
        <w:rPr>
          <w:rFonts w:ascii="仿宋" w:hAnsi="仿宋" w:eastAsia="仿宋" w:cs="宋体"/>
          <w:sz w:val="28"/>
          <w:szCs w:val="28"/>
          <w:highlight w:val="none"/>
        </w:rPr>
        <w:t>%</w:t>
      </w:r>
      <w:r>
        <w:rPr>
          <w:rFonts w:hint="eastAsia" w:ascii="仿宋" w:hAnsi="仿宋" w:eastAsia="仿宋" w:cs="宋体"/>
          <w:sz w:val="28"/>
          <w:szCs w:val="28"/>
          <w:highlight w:val="none"/>
        </w:rPr>
        <w:t>。表明本次调研的有效问卷回收率较高，具有较强的代表性和可信度。根据问卷调查结果显示，项目整体满意度为</w:t>
      </w:r>
      <w:r>
        <w:rPr>
          <w:rFonts w:hint="eastAsia" w:ascii="仿宋" w:hAnsi="仿宋" w:eastAsia="仿宋" w:cs="宋体"/>
          <w:sz w:val="28"/>
          <w:szCs w:val="28"/>
          <w:highlight w:val="none"/>
          <w:lang w:val="en-US" w:eastAsia="zh-CN"/>
        </w:rPr>
        <w:t>81.78</w:t>
      </w:r>
      <w:r>
        <w:rPr>
          <w:rFonts w:ascii="仿宋" w:hAnsi="仿宋" w:eastAsia="仿宋" w:cs="宋体"/>
          <w:sz w:val="28"/>
          <w:szCs w:val="28"/>
          <w:highlight w:val="none"/>
        </w:rPr>
        <w:t>%</w:t>
      </w:r>
      <w:r>
        <w:rPr>
          <w:rFonts w:hint="eastAsia" w:ascii="仿宋" w:hAnsi="仿宋" w:eastAsia="仿宋" w:cs="宋体"/>
          <w:sz w:val="28"/>
          <w:szCs w:val="28"/>
          <w:highlight w:val="none"/>
        </w:rPr>
        <w:t>，满意度较高，项目实施成效较为显著。</w:t>
      </w:r>
    </w:p>
    <w:bookmarkEnd w:id="80"/>
    <w:p>
      <w:pPr>
        <w:spacing w:line="520" w:lineRule="exact"/>
        <w:ind w:firstLine="548" w:firstLineChars="196"/>
        <w:rPr>
          <w:rFonts w:hint="eastAsia" w:ascii="仿宋" w:hAnsi="仿宋" w:eastAsia="仿宋" w:cs="宋体"/>
          <w:sz w:val="28"/>
          <w:szCs w:val="28"/>
          <w:highlight w:val="none"/>
        </w:rPr>
      </w:pPr>
      <w:r>
        <w:rPr>
          <w:rFonts w:hint="eastAsia" w:ascii="仿宋" w:hAnsi="仿宋" w:eastAsia="仿宋" w:cs="宋体"/>
          <w:sz w:val="28"/>
          <w:szCs w:val="28"/>
          <w:highlight w:val="none"/>
        </w:rPr>
        <w:t>根据指标体系评分标准，项目此项指标绩效评价综合得分为</w:t>
      </w:r>
      <w:r>
        <w:rPr>
          <w:rFonts w:hint="eastAsia" w:ascii="仿宋" w:hAnsi="仿宋" w:eastAsia="仿宋" w:cs="宋体"/>
          <w:sz w:val="28"/>
          <w:szCs w:val="28"/>
          <w:highlight w:val="none"/>
          <w:lang w:val="en-US" w:eastAsia="zh-CN"/>
        </w:rPr>
        <w:t>4.09</w:t>
      </w:r>
      <w:r>
        <w:rPr>
          <w:rFonts w:hint="eastAsia" w:ascii="仿宋" w:hAnsi="仿宋" w:eastAsia="仿宋" w:cs="宋体"/>
          <w:sz w:val="28"/>
          <w:szCs w:val="28"/>
          <w:highlight w:val="none"/>
        </w:rPr>
        <w:t>分。</w:t>
      </w:r>
    </w:p>
    <w:p>
      <w:pPr>
        <w:pStyle w:val="15"/>
        <w:numPr>
          <w:ilvl w:val="0"/>
          <w:numId w:val="0"/>
        </w:numPr>
        <w:tabs>
          <w:tab w:val="clear" w:pos="720"/>
        </w:tabs>
        <w:spacing w:line="520" w:lineRule="exact"/>
        <w:ind w:left="1280" w:leftChars="0" w:hanging="720" w:firstLineChars="0"/>
        <w:outlineLvl w:val="0"/>
        <w:rPr>
          <w:rFonts w:hint="eastAsia" w:ascii="黑体" w:hAnsi="黑体" w:eastAsia="黑体" w:cs="黑体"/>
          <w:snapToGrid w:val="0"/>
          <w:kern w:val="0"/>
          <w:szCs w:val="28"/>
          <w:highlight w:val="none"/>
        </w:rPr>
      </w:pPr>
      <w:bookmarkStart w:id="81" w:name="_Toc11394"/>
      <w:r>
        <w:rPr>
          <w:rFonts w:hint="default" w:ascii="黑体" w:hAnsi="黑体" w:eastAsia="黑体" w:cs="黑体"/>
          <w:snapToGrid w:val="0"/>
          <w:kern w:val="0"/>
          <w:szCs w:val="28"/>
          <w:highlight w:val="none"/>
          <w:lang w:val="en-US" w:eastAsia="zh-CN"/>
        </w:rPr>
        <w:t>五、</w:t>
      </w:r>
      <w:r>
        <w:rPr>
          <w:rFonts w:hint="eastAsia" w:ascii="黑体" w:hAnsi="黑体" w:eastAsia="黑体" w:cs="黑体"/>
          <w:snapToGrid w:val="0"/>
          <w:kern w:val="0"/>
          <w:szCs w:val="28"/>
          <w:highlight w:val="none"/>
        </w:rPr>
        <w:t>主要成效</w:t>
      </w:r>
      <w:bookmarkEnd w:id="73"/>
      <w:bookmarkEnd w:id="74"/>
      <w:bookmarkEnd w:id="81"/>
    </w:p>
    <w:p>
      <w:pPr>
        <w:pStyle w:val="119"/>
        <w:shd w:val="clear" w:color="auto" w:fill="FFFFFF"/>
        <w:adjustRightInd w:val="0"/>
        <w:snapToGrid w:val="0"/>
        <w:spacing w:before="0" w:beforeAutospacing="0" w:after="0" w:afterAutospacing="0" w:line="520" w:lineRule="exact"/>
        <w:ind w:firstLine="562" w:firstLineChars="200"/>
        <w:outlineLvl w:val="1"/>
        <w:rPr>
          <w:rFonts w:hint="eastAsia" w:ascii="仿宋" w:hAnsi="仿宋" w:eastAsia="仿宋" w:cs="宋体"/>
          <w:snapToGrid w:val="0"/>
          <w:color w:val="000000"/>
          <w:sz w:val="28"/>
          <w:szCs w:val="28"/>
          <w:lang w:val="en-US" w:eastAsia="zh-CN" w:bidi="ar-SA"/>
        </w:rPr>
      </w:pPr>
      <w:bookmarkStart w:id="82" w:name="_Toc13545"/>
      <w:r>
        <w:rPr>
          <w:rFonts w:hint="eastAsia" w:ascii="仿宋" w:hAnsi="仿宋" w:eastAsia="仿宋"/>
          <w:b/>
          <w:bCs/>
          <w:kern w:val="2"/>
          <w:sz w:val="28"/>
          <w:szCs w:val="28"/>
        </w:rPr>
        <w:t>（一）</w:t>
      </w:r>
      <w:r>
        <w:rPr>
          <w:rFonts w:hint="eastAsia" w:ascii="仿宋" w:hAnsi="仿宋" w:eastAsia="仿宋"/>
          <w:b/>
          <w:bCs/>
          <w:kern w:val="2"/>
          <w:sz w:val="28"/>
          <w:szCs w:val="28"/>
          <w:lang w:val="en-US" w:eastAsia="zh-CN"/>
        </w:rPr>
        <w:t>持续推进“三位一体”环卫作业服务市场化工作</w:t>
      </w:r>
      <w:bookmarkEnd w:id="82"/>
    </w:p>
    <w:p>
      <w:pPr>
        <w:pStyle w:val="119"/>
        <w:shd w:val="clear" w:color="auto" w:fill="FFFFFF"/>
        <w:adjustRightInd w:val="0"/>
        <w:snapToGrid w:val="0"/>
        <w:spacing w:before="0" w:beforeAutospacing="0" w:after="0" w:afterAutospacing="0" w:line="520" w:lineRule="exact"/>
        <w:ind w:firstLine="560" w:firstLineChars="200"/>
        <w:rPr>
          <w:rFonts w:hint="eastAsia" w:ascii="仿宋" w:hAnsi="仿宋" w:eastAsia="仿宋" w:cs="宋体"/>
          <w:snapToGrid w:val="0"/>
          <w:color w:val="000000"/>
          <w:sz w:val="28"/>
          <w:szCs w:val="28"/>
          <w:lang w:val="en-US" w:eastAsia="zh-CN" w:bidi="ar-SA"/>
        </w:rPr>
      </w:pPr>
      <w:r>
        <w:rPr>
          <w:rFonts w:hint="eastAsia" w:ascii="仿宋" w:hAnsi="仿宋" w:eastAsia="仿宋" w:cs="宋体"/>
          <w:snapToGrid w:val="0"/>
          <w:color w:val="000000"/>
          <w:sz w:val="28"/>
          <w:szCs w:val="28"/>
          <w:lang w:val="en-US" w:eastAsia="zh-CN" w:bidi="ar-SA"/>
        </w:rPr>
        <w:t>2021年以来，在各镇街与各保洁公司的紧密协作及我中心的协调、指导下，我区“三位一体”环卫作业服务市场化有序运作，道路保洁精细化管理水平稳步提高。同时，“三位一体”环卫作业绩效考评小组严格对照招标文件及精细化管理标准落实开展日常监督检查工作，落实执行按质付费。</w:t>
      </w:r>
    </w:p>
    <w:p>
      <w:pPr>
        <w:pStyle w:val="119"/>
        <w:shd w:val="clear" w:color="auto" w:fill="FFFFFF"/>
        <w:adjustRightInd w:val="0"/>
        <w:snapToGrid w:val="0"/>
        <w:spacing w:before="0" w:beforeAutospacing="0" w:after="0" w:afterAutospacing="0" w:line="520" w:lineRule="exact"/>
        <w:ind w:firstLine="562" w:firstLineChars="200"/>
        <w:outlineLvl w:val="1"/>
        <w:rPr>
          <w:rFonts w:hint="default" w:ascii="仿宋" w:hAnsi="仿宋" w:eastAsia="仿宋"/>
          <w:b/>
          <w:bCs/>
          <w:kern w:val="2"/>
          <w:sz w:val="28"/>
          <w:szCs w:val="28"/>
          <w:lang w:val="en-US" w:eastAsia="zh-CN"/>
        </w:rPr>
      </w:pPr>
      <w:bookmarkStart w:id="83" w:name="_Toc867"/>
      <w:r>
        <w:rPr>
          <w:rFonts w:hint="eastAsia" w:ascii="仿宋" w:hAnsi="仿宋" w:eastAsia="仿宋"/>
          <w:b/>
          <w:bCs/>
          <w:kern w:val="2"/>
          <w:sz w:val="28"/>
          <w:szCs w:val="28"/>
        </w:rPr>
        <w:t>（二）</w:t>
      </w:r>
      <w:r>
        <w:rPr>
          <w:rFonts w:hint="eastAsia" w:ascii="仿宋" w:hAnsi="仿宋" w:eastAsia="仿宋"/>
          <w:b/>
          <w:bCs/>
          <w:kern w:val="2"/>
          <w:sz w:val="28"/>
          <w:szCs w:val="28"/>
          <w:lang w:val="en-US" w:eastAsia="zh-CN"/>
        </w:rPr>
        <w:t>全力进行陪同，加强监管</w:t>
      </w:r>
      <w:bookmarkEnd w:id="83"/>
    </w:p>
    <w:p>
      <w:pPr>
        <w:pStyle w:val="119"/>
        <w:shd w:val="clear" w:color="auto" w:fill="FFFFFF"/>
        <w:adjustRightInd w:val="0"/>
        <w:snapToGrid w:val="0"/>
        <w:spacing w:before="0" w:beforeAutospacing="0" w:after="0" w:afterAutospacing="0" w:line="520" w:lineRule="exact"/>
        <w:ind w:firstLine="560" w:firstLineChars="200"/>
        <w:rPr>
          <w:rFonts w:hint="eastAsia" w:ascii="仿宋" w:hAnsi="仿宋" w:eastAsia="仿宋"/>
          <w:kern w:val="2"/>
          <w:sz w:val="28"/>
          <w:szCs w:val="28"/>
        </w:rPr>
      </w:pPr>
      <w:r>
        <w:rPr>
          <w:rFonts w:hint="eastAsia" w:ascii="仿宋" w:hAnsi="仿宋" w:eastAsia="仿宋"/>
          <w:kern w:val="2"/>
          <w:sz w:val="28"/>
          <w:szCs w:val="28"/>
        </w:rPr>
        <w:t>全力配合和润保洁公司，做好直管道路保洁班人员、作业区域等交接工作。积极协助和润保洁公司协调日常道路清扫保洁工作中电动保洁车辆管理、垃圾进转运站等相关事宜。在新冠疫情防控工作中，配合上级部门，扎实开展环卫保洁、卫生死角清理整治、防控消杀等工作。配合城管局督察加强对6家保洁公司的业务指导工作，整理各项内业资料，加强对保洁公司的GPS监控，及时向领导反馈公司存在各项问题。配合12345平台投诉件，处理反馈工作。</w:t>
      </w:r>
    </w:p>
    <w:p>
      <w:pPr>
        <w:pStyle w:val="119"/>
        <w:shd w:val="clear" w:color="auto" w:fill="FFFFFF"/>
        <w:adjustRightInd w:val="0"/>
        <w:snapToGrid w:val="0"/>
        <w:spacing w:before="0" w:beforeAutospacing="0" w:after="0" w:afterAutospacing="0" w:line="520" w:lineRule="exact"/>
        <w:ind w:firstLine="562" w:firstLineChars="200"/>
        <w:outlineLvl w:val="1"/>
        <w:rPr>
          <w:rFonts w:hint="eastAsia" w:ascii="仿宋" w:hAnsi="仿宋" w:eastAsia="仿宋"/>
          <w:b/>
          <w:bCs/>
          <w:kern w:val="2"/>
          <w:sz w:val="28"/>
          <w:szCs w:val="28"/>
        </w:rPr>
      </w:pPr>
      <w:bookmarkStart w:id="84" w:name="_Toc404"/>
      <w:r>
        <w:rPr>
          <w:rFonts w:hint="eastAsia" w:ascii="仿宋" w:hAnsi="仿宋" w:eastAsia="仿宋"/>
          <w:b/>
          <w:bCs/>
          <w:kern w:val="2"/>
          <w:sz w:val="28"/>
          <w:szCs w:val="28"/>
        </w:rPr>
        <w:t>（三）全力保障重大活动及节假日环境卫生</w:t>
      </w:r>
      <w:bookmarkEnd w:id="84"/>
    </w:p>
    <w:p>
      <w:pPr>
        <w:pStyle w:val="119"/>
        <w:shd w:val="clear" w:color="auto" w:fill="FFFFFF"/>
        <w:adjustRightInd w:val="0"/>
        <w:snapToGrid w:val="0"/>
        <w:spacing w:before="0" w:beforeAutospacing="0" w:after="0" w:afterAutospacing="0" w:line="520" w:lineRule="exact"/>
        <w:ind w:firstLine="560" w:firstLineChars="200"/>
        <w:rPr>
          <w:rFonts w:hint="eastAsia" w:ascii="仿宋" w:hAnsi="仿宋" w:eastAsia="仿宋"/>
          <w:kern w:val="2"/>
          <w:sz w:val="28"/>
          <w:szCs w:val="28"/>
        </w:rPr>
      </w:pPr>
      <w:r>
        <w:rPr>
          <w:rFonts w:hint="eastAsia" w:ascii="仿宋" w:hAnsi="仿宋" w:eastAsia="仿宋"/>
          <w:kern w:val="2"/>
          <w:sz w:val="28"/>
          <w:szCs w:val="28"/>
        </w:rPr>
        <w:t>今年以来，我区环卫各部门凝心聚力，全力落实“环境卫生</w:t>
      </w:r>
      <w:r>
        <w:rPr>
          <w:rFonts w:hint="eastAsia" w:ascii="仿宋" w:hAnsi="仿宋" w:eastAsia="仿宋"/>
          <w:kern w:val="2"/>
          <w:sz w:val="28"/>
          <w:szCs w:val="28"/>
          <w:lang w:eastAsia="zh-CN"/>
        </w:rPr>
        <w:t>大</w:t>
      </w:r>
      <w:r>
        <w:rPr>
          <w:rFonts w:hint="eastAsia" w:ascii="仿宋" w:hAnsi="仿宋" w:eastAsia="仿宋"/>
          <w:kern w:val="2"/>
          <w:sz w:val="28"/>
          <w:szCs w:val="28"/>
        </w:rPr>
        <w:t>整治”、“护河爱水、清洁家园”行动等重大活动及元旦、春节、清明等重大节假日环境卫生保障工作。</w:t>
      </w:r>
    </w:p>
    <w:p>
      <w:pPr>
        <w:spacing w:line="520" w:lineRule="exact"/>
        <w:ind w:firstLine="560" w:firstLineChars="200"/>
        <w:outlineLvl w:val="0"/>
        <w:rPr>
          <w:rFonts w:hint="eastAsia" w:ascii="黑体" w:hAnsi="黑体" w:eastAsia="黑体" w:cs="黑体"/>
          <w:color w:val="auto"/>
          <w:sz w:val="28"/>
          <w:szCs w:val="28"/>
        </w:rPr>
      </w:pPr>
      <w:bookmarkStart w:id="85" w:name="_Toc2822"/>
      <w:bookmarkStart w:id="86" w:name="_Toc10261"/>
      <w:bookmarkStart w:id="87" w:name="_Toc22833"/>
      <w:bookmarkStart w:id="88" w:name="_Toc26832"/>
      <w:bookmarkStart w:id="89" w:name="_Toc23094"/>
      <w:bookmarkStart w:id="90" w:name="_Toc31180"/>
      <w:r>
        <w:rPr>
          <w:rFonts w:hint="eastAsia" w:ascii="黑体" w:hAnsi="黑体" w:eastAsia="黑体" w:cs="黑体"/>
          <w:sz w:val="28"/>
          <w:szCs w:val="28"/>
        </w:rPr>
        <w:t>六、</w:t>
      </w:r>
      <w:r>
        <w:rPr>
          <w:rFonts w:hint="eastAsia" w:ascii="黑体" w:hAnsi="黑体" w:eastAsia="黑体" w:cs="黑体"/>
          <w:color w:val="auto"/>
          <w:sz w:val="28"/>
          <w:szCs w:val="28"/>
        </w:rPr>
        <w:t>存在的主要问题和建议</w:t>
      </w:r>
      <w:bookmarkEnd w:id="85"/>
      <w:bookmarkEnd w:id="86"/>
      <w:bookmarkEnd w:id="87"/>
      <w:bookmarkEnd w:id="88"/>
      <w:bookmarkEnd w:id="89"/>
      <w:bookmarkEnd w:id="90"/>
    </w:p>
    <w:p>
      <w:pPr>
        <w:spacing w:line="520" w:lineRule="exact"/>
        <w:ind w:firstLine="560" w:firstLineChars="200"/>
        <w:outlineLvl w:val="1"/>
        <w:rPr>
          <w:rFonts w:hint="eastAsia" w:ascii="楷体" w:hAnsi="楷体" w:eastAsia="楷体" w:cs="楷体"/>
          <w:color w:val="auto"/>
          <w:sz w:val="28"/>
          <w:szCs w:val="28"/>
        </w:rPr>
      </w:pPr>
      <w:bookmarkStart w:id="91" w:name="_Toc28643"/>
      <w:bookmarkStart w:id="92" w:name="_Toc30597"/>
      <w:bookmarkStart w:id="93" w:name="_Toc29900"/>
      <w:bookmarkStart w:id="94" w:name="_Toc22650"/>
      <w:r>
        <w:rPr>
          <w:rFonts w:hint="eastAsia" w:ascii="楷体" w:hAnsi="楷体" w:eastAsia="楷体" w:cs="楷体"/>
          <w:color w:val="auto"/>
          <w:sz w:val="28"/>
          <w:szCs w:val="28"/>
        </w:rPr>
        <w:t>（一）存在的主要问题</w:t>
      </w:r>
      <w:bookmarkEnd w:id="91"/>
      <w:bookmarkEnd w:id="92"/>
      <w:bookmarkEnd w:id="93"/>
      <w:bookmarkEnd w:id="94"/>
    </w:p>
    <w:p>
      <w:pPr>
        <w:pStyle w:val="119"/>
        <w:shd w:val="clear" w:color="auto" w:fill="FFFFFF"/>
        <w:adjustRightInd w:val="0"/>
        <w:snapToGrid w:val="0"/>
        <w:spacing w:before="0" w:beforeAutospacing="0" w:after="0" w:afterAutospacing="0" w:line="520" w:lineRule="exact"/>
        <w:ind w:firstLine="562" w:firstLineChars="200"/>
        <w:outlineLvl w:val="9"/>
        <w:rPr>
          <w:rFonts w:hint="default" w:ascii="仿宋" w:hAnsi="仿宋" w:eastAsia="仿宋"/>
          <w:b/>
          <w:bCs/>
          <w:sz w:val="28"/>
          <w:szCs w:val="28"/>
          <w:lang w:val="en-US" w:eastAsia="zh-CN"/>
        </w:rPr>
      </w:pPr>
      <w:r>
        <w:rPr>
          <w:rFonts w:hint="eastAsia" w:ascii="仿宋" w:hAnsi="仿宋" w:eastAsia="仿宋"/>
          <w:b/>
          <w:bCs/>
          <w:sz w:val="28"/>
          <w:szCs w:val="28"/>
        </w:rPr>
        <w:t>1.</w:t>
      </w:r>
      <w:r>
        <w:rPr>
          <w:rFonts w:hint="eastAsia" w:ascii="仿宋" w:hAnsi="仿宋" w:eastAsia="仿宋"/>
          <w:b/>
          <w:bCs/>
          <w:sz w:val="28"/>
          <w:szCs w:val="28"/>
          <w:lang w:val="en-US" w:eastAsia="zh-CN"/>
        </w:rPr>
        <w:t>预算编制与实际支出存在差额</w:t>
      </w:r>
    </w:p>
    <w:p>
      <w:pPr>
        <w:pStyle w:val="119"/>
        <w:shd w:val="clear" w:color="auto" w:fill="FFFFFF"/>
        <w:adjustRightInd w:val="0"/>
        <w:snapToGrid w:val="0"/>
        <w:spacing w:before="0" w:beforeAutospacing="0" w:after="0" w:afterAutospacing="0" w:line="520" w:lineRule="exact"/>
        <w:ind w:firstLine="560" w:firstLineChars="200"/>
        <w:rPr>
          <w:rFonts w:hint="eastAsia" w:ascii="仿宋" w:hAnsi="仿宋" w:eastAsia="仿宋"/>
          <w:kern w:val="2"/>
          <w:sz w:val="28"/>
          <w:szCs w:val="28"/>
        </w:rPr>
      </w:pPr>
      <w:r>
        <w:rPr>
          <w:rFonts w:hint="eastAsia" w:ascii="仿宋" w:hAnsi="仿宋" w:eastAsia="仿宋"/>
          <w:kern w:val="2"/>
          <w:sz w:val="28"/>
          <w:szCs w:val="28"/>
        </w:rPr>
        <w:t>从预算收支情况看：年初预算与年底</w:t>
      </w:r>
      <w:r>
        <w:rPr>
          <w:rFonts w:hint="eastAsia" w:ascii="仿宋" w:hAnsi="仿宋" w:eastAsia="仿宋"/>
          <w:kern w:val="2"/>
          <w:sz w:val="28"/>
          <w:szCs w:val="28"/>
          <w:lang w:val="en-US" w:eastAsia="zh-CN"/>
        </w:rPr>
        <w:t>支出核算</w:t>
      </w:r>
      <w:r>
        <w:rPr>
          <w:rFonts w:hint="eastAsia" w:ascii="仿宋" w:hAnsi="仿宋" w:eastAsia="仿宋"/>
          <w:kern w:val="2"/>
          <w:sz w:val="28"/>
          <w:szCs w:val="28"/>
        </w:rPr>
        <w:t>仍存在偏差，在预算执行过程中，由于须根据每月考核的结果决定支付道路清扫经费，资金实际支出率有所偏差</w:t>
      </w:r>
      <w:r>
        <w:rPr>
          <w:rFonts w:hint="eastAsia" w:ascii="仿宋" w:hAnsi="仿宋" w:eastAsia="仿宋"/>
          <w:kern w:val="2"/>
          <w:sz w:val="28"/>
          <w:szCs w:val="28"/>
          <w:lang w:eastAsia="zh-CN"/>
        </w:rPr>
        <w:t>，</w:t>
      </w:r>
      <w:r>
        <w:rPr>
          <w:rFonts w:hint="eastAsia" w:ascii="仿宋" w:hAnsi="仿宋" w:eastAsia="仿宋"/>
          <w:kern w:val="2"/>
          <w:sz w:val="28"/>
          <w:szCs w:val="28"/>
        </w:rPr>
        <w:t>在指标下达和实际支出的时间点出现偏差，各项支出跟指标难以一一对应。</w:t>
      </w:r>
    </w:p>
    <w:p>
      <w:pPr>
        <w:pStyle w:val="119"/>
        <w:numPr>
          <w:ilvl w:val="0"/>
          <w:numId w:val="0"/>
        </w:numPr>
        <w:shd w:val="clear" w:color="auto" w:fill="FFFFFF"/>
        <w:adjustRightInd w:val="0"/>
        <w:snapToGrid w:val="0"/>
        <w:spacing w:before="0" w:beforeAutospacing="0" w:after="0" w:afterAutospacing="0" w:line="520" w:lineRule="exact"/>
        <w:ind w:left="0" w:leftChars="0" w:firstLine="562" w:firstLineChars="200"/>
        <w:outlineLvl w:val="9"/>
        <w:rPr>
          <w:rFonts w:hint="eastAsia" w:ascii="仿宋" w:hAnsi="仿宋" w:eastAsia="仿宋" w:cs="宋体"/>
          <w:b/>
          <w:bCs/>
          <w:snapToGrid/>
          <w:color w:val="auto"/>
          <w:sz w:val="28"/>
          <w:szCs w:val="28"/>
          <w:lang w:val="en-US" w:eastAsia="zh-CN" w:bidi="ar-SA"/>
        </w:rPr>
      </w:pPr>
      <w:r>
        <w:rPr>
          <w:rFonts w:hint="eastAsia" w:ascii="仿宋" w:hAnsi="仿宋" w:eastAsia="仿宋" w:cs="宋体"/>
          <w:b/>
          <w:bCs/>
          <w:snapToGrid/>
          <w:color w:val="auto"/>
          <w:sz w:val="28"/>
          <w:szCs w:val="28"/>
          <w:lang w:val="en-US" w:eastAsia="zh-CN" w:bidi="ar-SA"/>
        </w:rPr>
        <w:t>2.项目资金存在临时调用的情况</w:t>
      </w:r>
    </w:p>
    <w:p>
      <w:pPr>
        <w:pStyle w:val="119"/>
        <w:shd w:val="clear" w:color="auto" w:fill="FFFFFF"/>
        <w:adjustRightInd w:val="0"/>
        <w:snapToGrid w:val="0"/>
        <w:spacing w:before="0" w:beforeAutospacing="0" w:after="0" w:afterAutospacing="0" w:line="520" w:lineRule="exact"/>
        <w:ind w:firstLine="560" w:firstLineChars="200"/>
        <w:rPr>
          <w:rFonts w:hint="default" w:ascii="仿宋" w:hAnsi="仿宋" w:eastAsia="仿宋"/>
          <w:kern w:val="2"/>
          <w:sz w:val="28"/>
          <w:szCs w:val="28"/>
          <w:lang w:val="en-US" w:eastAsia="zh-CN"/>
        </w:rPr>
      </w:pPr>
      <w:r>
        <w:rPr>
          <w:rFonts w:hint="eastAsia" w:ascii="仿宋" w:hAnsi="仿宋" w:eastAsia="仿宋"/>
          <w:kern w:val="2"/>
          <w:sz w:val="28"/>
          <w:szCs w:val="28"/>
          <w:lang w:val="en-US" w:eastAsia="zh-CN"/>
        </w:rPr>
        <w:t>道路清扫经费</w:t>
      </w:r>
      <w:r>
        <w:rPr>
          <w:rFonts w:hint="default" w:ascii="仿宋" w:hAnsi="仿宋" w:eastAsia="仿宋"/>
          <w:kern w:val="2"/>
          <w:sz w:val="28"/>
          <w:szCs w:val="28"/>
          <w:lang w:val="en-US" w:eastAsia="zh-CN"/>
        </w:rPr>
        <w:t>项目为延续项目，在第二年度才能付清</w:t>
      </w:r>
      <w:r>
        <w:rPr>
          <w:rFonts w:hint="eastAsia" w:ascii="仿宋" w:hAnsi="仿宋" w:eastAsia="仿宋"/>
          <w:kern w:val="2"/>
          <w:sz w:val="28"/>
          <w:szCs w:val="28"/>
          <w:lang w:val="en-US" w:eastAsia="zh-CN"/>
        </w:rPr>
        <w:t>部分中标公司</w:t>
      </w:r>
      <w:r>
        <w:rPr>
          <w:rFonts w:hint="default" w:ascii="仿宋" w:hAnsi="仿宋" w:eastAsia="仿宋"/>
          <w:kern w:val="2"/>
          <w:sz w:val="28"/>
          <w:szCs w:val="28"/>
          <w:lang w:val="en-US" w:eastAsia="zh-CN"/>
        </w:rPr>
        <w:t>上年度</w:t>
      </w:r>
      <w:r>
        <w:rPr>
          <w:rFonts w:hint="eastAsia" w:ascii="仿宋" w:hAnsi="仿宋" w:eastAsia="仿宋"/>
          <w:kern w:val="2"/>
          <w:sz w:val="28"/>
          <w:szCs w:val="28"/>
          <w:lang w:val="en-US" w:eastAsia="zh-CN"/>
        </w:rPr>
        <w:t>项目</w:t>
      </w:r>
      <w:r>
        <w:rPr>
          <w:rFonts w:hint="default" w:ascii="仿宋" w:hAnsi="仿宋" w:eastAsia="仿宋"/>
          <w:kern w:val="2"/>
          <w:sz w:val="28"/>
          <w:szCs w:val="28"/>
          <w:lang w:val="en-US" w:eastAsia="zh-CN"/>
        </w:rPr>
        <w:t>费用，导致预算在期初，资金使用在后，资金滚动使用，存在临时调用的情况</w:t>
      </w:r>
      <w:r>
        <w:rPr>
          <w:rFonts w:hint="eastAsia" w:ascii="仿宋" w:hAnsi="仿宋" w:eastAsia="仿宋"/>
          <w:kern w:val="2"/>
          <w:sz w:val="28"/>
          <w:szCs w:val="28"/>
          <w:lang w:val="en-US" w:eastAsia="zh-CN"/>
        </w:rPr>
        <w:t>。</w:t>
      </w:r>
    </w:p>
    <w:p>
      <w:pPr>
        <w:numPr>
          <w:ilvl w:val="0"/>
          <w:numId w:val="0"/>
        </w:numPr>
        <w:spacing w:line="520" w:lineRule="exact"/>
        <w:ind w:left="0" w:leftChars="0" w:firstLine="482" w:firstLineChars="0"/>
        <w:outlineLvl w:val="9"/>
        <w:rPr>
          <w:rFonts w:hint="default" w:ascii="仿宋" w:hAnsi="仿宋" w:eastAsia="仿宋" w:cs="宋体"/>
          <w:b/>
          <w:bCs/>
          <w:sz w:val="28"/>
          <w:szCs w:val="28"/>
          <w:lang w:val="en-US" w:eastAsia="zh-CN"/>
        </w:rPr>
      </w:pPr>
      <w:r>
        <w:rPr>
          <w:rFonts w:hint="eastAsia" w:ascii="仿宋" w:hAnsi="仿宋" w:eastAsia="仿宋" w:cs="宋体"/>
          <w:b/>
          <w:bCs/>
          <w:snapToGrid w:val="0"/>
          <w:color w:val="000000"/>
          <w:sz w:val="28"/>
          <w:szCs w:val="28"/>
          <w:lang w:val="en-US" w:eastAsia="zh-CN" w:bidi="ar-SA"/>
        </w:rPr>
        <w:t>3.</w:t>
      </w:r>
      <w:r>
        <w:rPr>
          <w:rFonts w:hint="eastAsia" w:ascii="仿宋" w:hAnsi="仿宋" w:eastAsia="仿宋" w:cs="宋体"/>
          <w:b/>
          <w:bCs/>
          <w:sz w:val="28"/>
          <w:szCs w:val="28"/>
          <w:lang w:eastAsia="zh-CN"/>
        </w:rPr>
        <w:t>项目年度绩效目标不够精确，</w:t>
      </w:r>
      <w:r>
        <w:rPr>
          <w:rFonts w:hint="eastAsia" w:ascii="仿宋" w:hAnsi="仿宋" w:eastAsia="仿宋" w:cs="宋体"/>
          <w:b/>
          <w:bCs/>
          <w:sz w:val="28"/>
          <w:szCs w:val="28"/>
          <w:lang w:val="en-US" w:eastAsia="zh-CN"/>
        </w:rPr>
        <w:t>指标设置不够合理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line="520" w:lineRule="exact"/>
        <w:ind w:left="0" w:leftChars="0" w:firstLine="560" w:firstLineChars="200"/>
        <w:textAlignment w:val="baseline"/>
        <w:outlineLvl w:val="9"/>
        <w:rPr>
          <w:rFonts w:hint="eastAsia" w:ascii="仿宋" w:hAnsi="仿宋" w:eastAsia="仿宋" w:cs="宋体"/>
          <w:snapToGrid/>
          <w:color w:val="auto"/>
          <w:kern w:val="2"/>
          <w:sz w:val="28"/>
          <w:szCs w:val="28"/>
          <w:lang w:val="en-US" w:eastAsia="zh-CN" w:bidi="ar-SA"/>
        </w:rPr>
      </w:pPr>
      <w:r>
        <w:rPr>
          <w:rFonts w:hint="eastAsia" w:ascii="仿宋" w:hAnsi="仿宋" w:eastAsia="仿宋" w:cs="宋体"/>
          <w:snapToGrid/>
          <w:color w:val="auto"/>
          <w:kern w:val="2"/>
          <w:sz w:val="28"/>
          <w:szCs w:val="28"/>
          <w:lang w:val="en-US" w:eastAsia="zh-CN" w:bidi="ar-SA"/>
        </w:rPr>
        <w:t>近几年的预算编制中均申报了道路清扫保洁经费，但项目的年度绩效目标不够明确和清晰。项目产出指标未量化，指标内容不完整、不够具体；项目效果设置简单粗略，未有效反映项目实施后预期达到的效果情况。</w:t>
      </w:r>
    </w:p>
    <w:p>
      <w:pPr>
        <w:spacing w:line="520" w:lineRule="exact"/>
        <w:ind w:firstLine="560" w:firstLineChars="200"/>
        <w:outlineLvl w:val="1"/>
        <w:rPr>
          <w:rFonts w:hint="eastAsia" w:ascii="楷体" w:hAnsi="楷体" w:eastAsia="楷体" w:cs="楷体"/>
          <w:color w:val="auto"/>
          <w:sz w:val="28"/>
          <w:szCs w:val="28"/>
        </w:rPr>
      </w:pPr>
      <w:bookmarkStart w:id="95" w:name="_Toc18225"/>
      <w:bookmarkStart w:id="96" w:name="_Toc2846"/>
      <w:bookmarkStart w:id="97" w:name="_Toc3528"/>
      <w:bookmarkStart w:id="98" w:name="_Toc18818"/>
      <w:r>
        <w:rPr>
          <w:rFonts w:hint="eastAsia" w:ascii="楷体" w:hAnsi="楷体" w:eastAsia="楷体" w:cs="楷体"/>
          <w:color w:val="auto"/>
          <w:sz w:val="28"/>
          <w:szCs w:val="28"/>
        </w:rPr>
        <w:t>（二）改进措施和建议</w:t>
      </w:r>
      <w:bookmarkEnd w:id="95"/>
      <w:bookmarkEnd w:id="96"/>
      <w:bookmarkEnd w:id="97"/>
      <w:bookmarkEnd w:id="98"/>
    </w:p>
    <w:p>
      <w:pPr>
        <w:pStyle w:val="119"/>
        <w:shd w:val="clear" w:color="auto" w:fill="FFFFFF"/>
        <w:adjustRightInd w:val="0"/>
        <w:snapToGrid w:val="0"/>
        <w:spacing w:before="0" w:beforeAutospacing="0" w:after="0" w:afterAutospacing="0" w:line="520" w:lineRule="exact"/>
        <w:ind w:firstLine="562" w:firstLineChars="200"/>
        <w:outlineLvl w:val="9"/>
        <w:rPr>
          <w:rFonts w:hint="eastAsia" w:ascii="仿宋" w:hAnsi="仿宋" w:eastAsia="仿宋"/>
          <w:b/>
          <w:bCs/>
          <w:sz w:val="28"/>
          <w:szCs w:val="28"/>
          <w:lang w:eastAsia="zh-CN"/>
        </w:rPr>
      </w:pPr>
      <w:r>
        <w:rPr>
          <w:rFonts w:hint="eastAsia" w:ascii="仿宋" w:hAnsi="仿宋" w:eastAsia="仿宋"/>
          <w:b/>
          <w:bCs/>
          <w:sz w:val="28"/>
          <w:szCs w:val="28"/>
        </w:rPr>
        <w:t>1</w:t>
      </w:r>
      <w:r>
        <w:rPr>
          <w:rFonts w:hint="eastAsia" w:ascii="仿宋" w:hAnsi="仿宋" w:eastAsia="仿宋"/>
          <w:b/>
          <w:bCs/>
          <w:sz w:val="28"/>
          <w:szCs w:val="28"/>
          <w:lang w:eastAsia="zh-CN"/>
        </w:rPr>
        <w:t>.强化预算编制管理</w:t>
      </w:r>
    </w:p>
    <w:p>
      <w:pPr>
        <w:pStyle w:val="119"/>
        <w:shd w:val="clear" w:color="auto" w:fill="FFFFFF"/>
        <w:adjustRightInd w:val="0"/>
        <w:snapToGrid w:val="0"/>
        <w:spacing w:before="0" w:beforeAutospacing="0" w:after="0" w:afterAutospacing="0" w:line="520" w:lineRule="exact"/>
        <w:ind w:firstLine="560" w:firstLineChars="200"/>
        <w:rPr>
          <w:rFonts w:hint="eastAsia" w:ascii="仿宋" w:hAnsi="仿宋" w:eastAsia="仿宋"/>
          <w:sz w:val="28"/>
          <w:szCs w:val="28"/>
        </w:rPr>
      </w:pPr>
      <w:r>
        <w:rPr>
          <w:rFonts w:hint="eastAsia" w:ascii="仿宋" w:hAnsi="仿宋" w:eastAsia="仿宋"/>
          <w:sz w:val="28"/>
          <w:szCs w:val="28"/>
        </w:rPr>
        <w:t>进一步强化单位内</w:t>
      </w:r>
      <w:r>
        <w:rPr>
          <w:rFonts w:hint="eastAsia" w:ascii="仿宋" w:hAnsi="仿宋" w:eastAsia="仿宋"/>
          <w:sz w:val="28"/>
          <w:szCs w:val="28"/>
          <w:lang w:val="en-US" w:eastAsia="zh-CN"/>
        </w:rPr>
        <w:t>人员</w:t>
      </w:r>
      <w:r>
        <w:rPr>
          <w:rFonts w:hint="eastAsia" w:ascii="仿宋" w:hAnsi="仿宋" w:eastAsia="仿宋"/>
          <w:sz w:val="28"/>
          <w:szCs w:val="28"/>
        </w:rPr>
        <w:t>的预算管理意识，严格按照预算编制的相关制度和要求执行，本着“勤俭节约、保障运转”的原则进行预算的编制。编制范围尽可能的全面、完整，进一步提高预算编制的科学性、合理性、严谨性和可控性，尽最大可能减少预决算执行差异。</w:t>
      </w:r>
      <w:r>
        <w:rPr>
          <w:rFonts w:hint="eastAsia" w:ascii="仿宋" w:hAnsi="仿宋" w:eastAsia="仿宋"/>
          <w:sz w:val="28"/>
          <w:szCs w:val="28"/>
          <w:lang w:val="en-US" w:eastAsia="zh-CN"/>
        </w:rPr>
        <w:t>同时</w:t>
      </w:r>
      <w:r>
        <w:rPr>
          <w:rFonts w:hint="eastAsia" w:ascii="仿宋" w:hAnsi="仿宋" w:eastAsia="仿宋"/>
          <w:sz w:val="28"/>
          <w:szCs w:val="28"/>
        </w:rPr>
        <w:t>对预算进行必要的动态调整和持续优化，提高预算编制预见性。采取有效措施落实预算资金的执行，并分析预算执行偏差原因，确保管理工作的有效实施。</w:t>
      </w:r>
    </w:p>
    <w:p>
      <w:pPr>
        <w:numPr>
          <w:ilvl w:val="0"/>
          <w:numId w:val="0"/>
        </w:numPr>
        <w:spacing w:line="520" w:lineRule="exact"/>
        <w:ind w:firstLine="562" w:firstLineChars="200"/>
        <w:outlineLvl w:val="9"/>
        <w:rPr>
          <w:rFonts w:hint="eastAsia" w:ascii="仿宋" w:hAnsi="仿宋" w:eastAsia="仿宋" w:cs="宋体"/>
          <w:b/>
          <w:bCs/>
          <w:snapToGrid/>
          <w:color w:val="auto"/>
          <w:sz w:val="28"/>
          <w:szCs w:val="28"/>
          <w:lang w:val="en-US" w:eastAsia="zh-CN" w:bidi="ar-SA"/>
        </w:rPr>
      </w:pPr>
      <w:r>
        <w:rPr>
          <w:rFonts w:hint="eastAsia" w:ascii="仿宋" w:hAnsi="仿宋" w:eastAsia="仿宋" w:cs="宋体"/>
          <w:b/>
          <w:bCs/>
          <w:snapToGrid/>
          <w:color w:val="auto"/>
          <w:sz w:val="28"/>
          <w:szCs w:val="28"/>
          <w:lang w:val="en-US" w:eastAsia="zh-CN" w:bidi="ar-SA"/>
        </w:rPr>
        <w:t>2.健全分配制度，加强财务核算</w:t>
      </w:r>
    </w:p>
    <w:p>
      <w:pPr>
        <w:numPr>
          <w:ilvl w:val="0"/>
          <w:numId w:val="0"/>
        </w:numPr>
        <w:spacing w:line="520" w:lineRule="exact"/>
        <w:ind w:firstLine="560" w:firstLineChars="200"/>
        <w:outlineLvl w:val="9"/>
        <w:rPr>
          <w:rFonts w:hint="eastAsia" w:ascii="仿宋" w:hAnsi="仿宋" w:eastAsia="仿宋" w:cs="宋体"/>
          <w:b/>
          <w:bCs/>
          <w:sz w:val="28"/>
          <w:szCs w:val="28"/>
          <w:lang w:val="en-US" w:eastAsia="zh-CN"/>
        </w:rPr>
      </w:pPr>
      <w:r>
        <w:rPr>
          <w:rFonts w:hint="eastAsia" w:ascii="仿宋" w:hAnsi="仿宋" w:eastAsia="仿宋" w:cs="宋体"/>
          <w:snapToGrid/>
          <w:color w:val="auto"/>
          <w:sz w:val="28"/>
          <w:szCs w:val="28"/>
          <w:lang w:val="en-US" w:eastAsia="zh-CN" w:bidi="ar-SA"/>
        </w:rPr>
        <w:t>进一步完善资金管理办法，明确资金分配标准、资金评审制度，建立科学、合理的资金分配机制；同时应加强财务管理，全面、准确、及时反映项目资金使用情况，提高资金使用效益。</w:t>
      </w:r>
    </w:p>
    <w:p>
      <w:pPr>
        <w:spacing w:line="520" w:lineRule="exact"/>
        <w:ind w:firstLine="562" w:firstLineChars="200"/>
        <w:outlineLvl w:val="9"/>
        <w:rPr>
          <w:rFonts w:hint="eastAsia" w:ascii="仿宋" w:hAnsi="仿宋" w:eastAsia="仿宋" w:cs="宋体"/>
          <w:b/>
          <w:bCs/>
          <w:sz w:val="28"/>
          <w:szCs w:val="28"/>
          <w:lang w:eastAsia="zh-CN"/>
        </w:rPr>
      </w:pPr>
      <w:r>
        <w:rPr>
          <w:rFonts w:hint="eastAsia" w:ascii="仿宋" w:hAnsi="仿宋" w:eastAsia="仿宋" w:cs="宋体"/>
          <w:b/>
          <w:bCs/>
          <w:sz w:val="28"/>
          <w:szCs w:val="28"/>
          <w:lang w:val="en-US" w:eastAsia="zh-CN"/>
        </w:rPr>
        <w:t>3</w:t>
      </w:r>
      <w:r>
        <w:rPr>
          <w:rFonts w:hint="eastAsia" w:ascii="仿宋" w:hAnsi="仿宋" w:eastAsia="仿宋" w:cs="宋体"/>
          <w:b/>
          <w:bCs/>
          <w:sz w:val="28"/>
          <w:szCs w:val="28"/>
          <w:lang w:eastAsia="zh-CN"/>
        </w:rPr>
        <w:t>.</w:t>
      </w:r>
      <w:r>
        <w:rPr>
          <w:rFonts w:hint="eastAsia" w:ascii="仿宋" w:hAnsi="仿宋" w:eastAsia="仿宋" w:cs="宋体"/>
          <w:b/>
          <w:bCs/>
          <w:sz w:val="28"/>
          <w:szCs w:val="28"/>
        </w:rPr>
        <w:t>增强绩效管理意识，提升绩效管理水平</w:t>
      </w:r>
    </w:p>
    <w:p>
      <w:pPr>
        <w:spacing w:line="520" w:lineRule="exact"/>
        <w:ind w:firstLine="560" w:firstLineChars="200"/>
        <w:rPr>
          <w:rFonts w:hint="eastAsia" w:ascii="仿宋" w:hAnsi="仿宋" w:eastAsia="仿宋" w:cs="宋体"/>
          <w:sz w:val="28"/>
          <w:szCs w:val="28"/>
        </w:rPr>
      </w:pPr>
      <w:r>
        <w:rPr>
          <w:rFonts w:hint="eastAsia" w:ascii="仿宋" w:hAnsi="仿宋" w:eastAsia="仿宋" w:cs="宋体"/>
          <w:b w:val="0"/>
          <w:bCs w:val="0"/>
          <w:snapToGrid/>
          <w:color w:val="auto"/>
          <w:kern w:val="0"/>
          <w:sz w:val="28"/>
          <w:szCs w:val="28"/>
          <w:lang w:val="en-US" w:eastAsia="zh-CN" w:bidi="ar-SA"/>
        </w:rPr>
        <w:t>增强绩效管理意识，提升绩效管理水平，在绩效目标编制时，梳理项目功能，结合项目实施内容设置项目绩效目标，以“做什么事，解决什么问题，达到什么目的”为框架，采用定量和定性相结合的方式，全面反映项目应有预期绩效，强化绩效目标对项目实施的引导、约束作用。在绩效目标的基础上细化和量化，合理设置绩效指标，设置绩效指标时，指标名称应凝练、明确，指标值合理、可衡量，充分反映项目目标和特点，实现项目实施有目标，项目执行有考核，项目考核有绩效。</w:t>
      </w: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520" w:lineRule="exact"/>
        <w:ind w:firstLine="562" w:firstLineChars="200"/>
        <w:rPr>
          <w:rFonts w:hint="eastAsia" w:ascii="仿宋" w:hAnsi="仿宋" w:eastAsia="仿宋"/>
          <w:b/>
          <w:bCs/>
          <w:kern w:val="2"/>
          <w:sz w:val="28"/>
          <w:szCs w:val="28"/>
        </w:rPr>
      </w:pPr>
    </w:p>
    <w:p>
      <w:pPr>
        <w:pStyle w:val="32"/>
        <w:spacing w:beforeAutospacing="0" w:afterAutospacing="0" w:line="360" w:lineRule="auto"/>
        <w:jc w:val="both"/>
        <w:outlineLvl w:val="0"/>
        <w:rPr>
          <w:rFonts w:hint="eastAsia" w:ascii="仿宋" w:hAnsi="仿宋" w:eastAsia="仿宋"/>
          <w:b/>
          <w:bCs/>
          <w:kern w:val="2"/>
          <w:sz w:val="28"/>
          <w:szCs w:val="28"/>
        </w:rPr>
      </w:pPr>
      <w:bookmarkStart w:id="99" w:name="_Toc5369"/>
      <w:r>
        <w:rPr>
          <w:rFonts w:hint="eastAsia" w:ascii="仿宋" w:hAnsi="仿宋" w:eastAsia="仿宋"/>
          <w:b/>
          <w:bCs/>
          <w:kern w:val="2"/>
          <w:sz w:val="28"/>
          <w:szCs w:val="28"/>
        </w:rPr>
        <w:t>附件</w:t>
      </w:r>
      <w:r>
        <w:rPr>
          <w:rFonts w:hint="eastAsia" w:ascii="仿宋" w:hAnsi="仿宋" w:eastAsia="仿宋"/>
          <w:b/>
          <w:bCs/>
          <w:kern w:val="2"/>
          <w:sz w:val="28"/>
          <w:szCs w:val="28"/>
          <w:lang w:val="en-US" w:eastAsia="zh-CN"/>
        </w:rPr>
        <w:t>一</w:t>
      </w:r>
      <w:r>
        <w:rPr>
          <w:rFonts w:hint="eastAsia" w:ascii="仿宋" w:hAnsi="仿宋" w:eastAsia="仿宋"/>
          <w:b/>
          <w:bCs/>
          <w:kern w:val="2"/>
          <w:sz w:val="28"/>
          <w:szCs w:val="28"/>
        </w:rPr>
        <w:t>：</w:t>
      </w:r>
      <w:bookmarkEnd w:id="99"/>
    </w:p>
    <w:p>
      <w:pPr>
        <w:spacing w:line="360" w:lineRule="auto"/>
        <w:jc w:val="center"/>
        <w:rPr>
          <w:rFonts w:hint="eastAsia" w:ascii="仿宋" w:hAnsi="仿宋" w:eastAsia="仿宋" w:cs="宋体"/>
          <w:b/>
          <w:bCs/>
        </w:rPr>
      </w:pPr>
      <w:r>
        <w:rPr>
          <w:rFonts w:hint="eastAsia" w:ascii="仿宋" w:hAnsi="仿宋" w:eastAsia="仿宋" w:cs="宋体"/>
          <w:b/>
          <w:bCs/>
        </w:rPr>
        <w:t xml:space="preserve"> </w:t>
      </w:r>
      <w:r>
        <w:rPr>
          <w:rFonts w:ascii="仿宋" w:hAnsi="仿宋" w:eastAsia="仿宋" w:cs="宋体"/>
          <w:b/>
          <w:bCs/>
        </w:rPr>
        <w:t xml:space="preserve"> </w:t>
      </w:r>
      <w:r>
        <w:rPr>
          <w:rFonts w:hint="eastAsia" w:ascii="仿宋" w:hAnsi="仿宋" w:eastAsia="仿宋" w:cs="宋体"/>
          <w:b/>
          <w:bCs/>
          <w:lang w:eastAsia="zh-CN"/>
        </w:rPr>
        <w:t>2023年度福州市仓山区环境卫生中心道路清扫经费项目支出</w:t>
      </w:r>
      <w:r>
        <w:rPr>
          <w:rFonts w:hint="eastAsia" w:ascii="仿宋" w:hAnsi="仿宋" w:eastAsia="仿宋" w:cs="宋体"/>
          <w:b/>
          <w:bCs/>
        </w:rPr>
        <w:t>绩效评价指标体系和得分情况</w:t>
      </w:r>
    </w:p>
    <w:tbl>
      <w:tblPr>
        <w:tblStyle w:val="36"/>
        <w:tblW w:w="8926" w:type="dxa"/>
        <w:tblInd w:w="113" w:type="dxa"/>
        <w:tblLayout w:type="fixed"/>
        <w:tblCellMar>
          <w:top w:w="0" w:type="dxa"/>
          <w:left w:w="108" w:type="dxa"/>
          <w:bottom w:w="0" w:type="dxa"/>
          <w:right w:w="108" w:type="dxa"/>
        </w:tblCellMar>
      </w:tblPr>
      <w:tblGrid>
        <w:gridCol w:w="704"/>
        <w:gridCol w:w="851"/>
        <w:gridCol w:w="1559"/>
        <w:gridCol w:w="4819"/>
        <w:gridCol w:w="993"/>
      </w:tblGrid>
      <w:tr>
        <w:tblPrEx>
          <w:tblCellMar>
            <w:top w:w="0" w:type="dxa"/>
            <w:left w:w="108" w:type="dxa"/>
            <w:bottom w:w="0" w:type="dxa"/>
            <w:right w:w="108" w:type="dxa"/>
          </w:tblCellMar>
        </w:tblPrEx>
        <w:trPr>
          <w:trHeight w:val="360" w:hRule="atLeast"/>
        </w:trPr>
        <w:tc>
          <w:tcPr>
            <w:tcW w:w="7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一级指标</w:t>
            </w:r>
          </w:p>
        </w:tc>
        <w:tc>
          <w:tcPr>
            <w:tcW w:w="851"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二级指标</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三级指标</w:t>
            </w:r>
          </w:p>
        </w:tc>
        <w:tc>
          <w:tcPr>
            <w:tcW w:w="481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b/>
                <w:bCs/>
              </w:rPr>
            </w:pPr>
            <w:r>
              <w:rPr>
                <w:rFonts w:hint="eastAsia" w:ascii="仿宋" w:hAnsi="仿宋" w:eastAsia="仿宋" w:cs="宋体"/>
                <w:b/>
                <w:bCs/>
              </w:rPr>
              <w:t>评分标准</w:t>
            </w:r>
          </w:p>
        </w:tc>
        <w:tc>
          <w:tcPr>
            <w:tcW w:w="99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b/>
                <w:bCs/>
              </w:rPr>
            </w:pPr>
            <w:r>
              <w:rPr>
                <w:rFonts w:hint="eastAsia" w:ascii="仿宋" w:hAnsi="仿宋" w:eastAsia="仿宋" w:cs="宋体"/>
                <w:b/>
                <w:bCs/>
              </w:rPr>
              <w:t>得分</w:t>
            </w:r>
          </w:p>
        </w:tc>
      </w:tr>
      <w:tr>
        <w:tblPrEx>
          <w:tblCellMar>
            <w:top w:w="0" w:type="dxa"/>
            <w:left w:w="108" w:type="dxa"/>
            <w:bottom w:w="0" w:type="dxa"/>
            <w:right w:w="108" w:type="dxa"/>
          </w:tblCellMar>
        </w:tblPrEx>
        <w:trPr>
          <w:trHeight w:val="1710" w:hRule="atLeast"/>
        </w:trPr>
        <w:tc>
          <w:tcPr>
            <w:tcW w:w="704"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决策（20分）　</w:t>
            </w: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项目立项（6分）　</w:t>
            </w: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立项依据充分性（3分）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①项目立项是否符合国家法律法规、国民经济发展规划和相关政策；</w:t>
            </w:r>
            <w:r>
              <w:rPr>
                <w:rFonts w:hint="eastAsia" w:ascii="仿宋" w:hAnsi="仿宋" w:eastAsia="仿宋" w:cs="宋体"/>
              </w:rPr>
              <w:br w:type="textWrapping"/>
            </w:r>
            <w:r>
              <w:rPr>
                <w:rFonts w:hint="eastAsia" w:ascii="仿宋" w:hAnsi="仿宋" w:eastAsia="仿宋" w:cs="宋体"/>
              </w:rPr>
              <w:t>②项目立项是否符合乡村振兴战略要求；</w:t>
            </w:r>
            <w:r>
              <w:rPr>
                <w:rFonts w:hint="eastAsia" w:ascii="仿宋" w:hAnsi="仿宋" w:eastAsia="仿宋" w:cs="宋体"/>
              </w:rPr>
              <w:br w:type="textWrapping"/>
            </w:r>
            <w:r>
              <w:rPr>
                <w:rFonts w:hint="eastAsia" w:ascii="仿宋" w:hAnsi="仿宋" w:eastAsia="仿宋" w:cs="宋体"/>
              </w:rPr>
              <w:t>③项目立项是否与部门职责范围相符，属于部门履职所需；</w:t>
            </w:r>
            <w:r>
              <w:rPr>
                <w:rFonts w:hint="eastAsia" w:ascii="仿宋" w:hAnsi="仿宋" w:eastAsia="仿宋" w:cs="宋体"/>
              </w:rPr>
              <w:br w:type="textWrapping"/>
            </w:r>
            <w:r>
              <w:rPr>
                <w:rFonts w:hint="eastAsia" w:ascii="仿宋" w:hAnsi="仿宋" w:eastAsia="仿宋" w:cs="宋体"/>
              </w:rPr>
              <w:t>④项目是否属于公共财政支持范围，是否符合中央、地方事权支出责任划分原则；</w:t>
            </w:r>
            <w:r>
              <w:rPr>
                <w:rFonts w:hint="eastAsia" w:ascii="仿宋" w:hAnsi="仿宋" w:eastAsia="仿宋" w:cs="宋体"/>
              </w:rPr>
              <w:br w:type="textWrapping"/>
            </w:r>
            <w:r>
              <w:rPr>
                <w:rFonts w:hint="eastAsia" w:ascii="仿宋" w:hAnsi="仿宋" w:eastAsia="仿宋" w:cs="宋体"/>
              </w:rPr>
              <w:t>⑤项目是否与相关部门同类项目或部门内部相关项目重复。</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rPr>
            </w:pPr>
            <w:r>
              <w:rPr>
                <w:rFonts w:ascii="仿宋" w:hAnsi="仿宋" w:eastAsia="仿宋" w:cs="宋体"/>
              </w:rPr>
              <w:t>3</w:t>
            </w:r>
          </w:p>
        </w:tc>
      </w:tr>
      <w:tr>
        <w:tblPrEx>
          <w:tblCellMar>
            <w:top w:w="0" w:type="dxa"/>
            <w:left w:w="108" w:type="dxa"/>
            <w:bottom w:w="0" w:type="dxa"/>
            <w:right w:w="108" w:type="dxa"/>
          </w:tblCellMar>
        </w:tblPrEx>
        <w:trPr>
          <w:trHeight w:val="166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559" w:type="dxa"/>
            <w:tcBorders>
              <w:top w:val="nil"/>
              <w:left w:val="nil"/>
              <w:bottom w:val="nil"/>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立项程序规范性（3分）</w:t>
            </w:r>
          </w:p>
        </w:tc>
        <w:tc>
          <w:tcPr>
            <w:tcW w:w="4819" w:type="dxa"/>
            <w:tcBorders>
              <w:top w:val="nil"/>
              <w:left w:val="nil"/>
              <w:bottom w:val="nil"/>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①项目是否按照规定的程序申请设立；</w:t>
            </w:r>
            <w:r>
              <w:rPr>
                <w:rFonts w:hint="eastAsia" w:ascii="仿宋" w:hAnsi="仿宋" w:eastAsia="仿宋" w:cs="宋体"/>
              </w:rPr>
              <w:br w:type="textWrapping"/>
            </w:r>
            <w:r>
              <w:rPr>
                <w:rFonts w:hint="eastAsia" w:ascii="仿宋" w:hAnsi="仿宋" w:eastAsia="仿宋" w:cs="宋体"/>
              </w:rPr>
              <w:t>②审批文件、材料是否符合相关要求；</w:t>
            </w:r>
            <w:r>
              <w:rPr>
                <w:rFonts w:hint="eastAsia" w:ascii="仿宋" w:hAnsi="仿宋" w:eastAsia="仿宋" w:cs="宋体"/>
              </w:rPr>
              <w:br w:type="textWrapping"/>
            </w:r>
            <w:r>
              <w:rPr>
                <w:rFonts w:hint="eastAsia" w:ascii="仿宋" w:hAnsi="仿宋" w:eastAsia="仿宋" w:cs="宋体"/>
              </w:rPr>
              <w:t>③事前是否已经过必要的可行性研究、专家论证、风险评估、绩效评估、集体决策。</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nil"/>
              <w:left w:val="nil"/>
              <w:bottom w:val="nil"/>
              <w:right w:val="single" w:color="auto" w:sz="4" w:space="0"/>
            </w:tcBorders>
            <w:vAlign w:val="center"/>
          </w:tcPr>
          <w:p>
            <w:pPr>
              <w:jc w:val="center"/>
              <w:rPr>
                <w:rFonts w:hint="eastAsia" w:ascii="仿宋" w:hAnsi="仿宋" w:eastAsia="仿宋" w:cs="宋体"/>
              </w:rPr>
            </w:pPr>
            <w:r>
              <w:rPr>
                <w:rFonts w:ascii="仿宋" w:hAnsi="仿宋" w:eastAsia="仿宋" w:cs="宋体"/>
              </w:rPr>
              <w:t>3</w:t>
            </w:r>
          </w:p>
        </w:tc>
      </w:tr>
      <w:tr>
        <w:tblPrEx>
          <w:tblCellMar>
            <w:top w:w="0" w:type="dxa"/>
            <w:left w:w="108" w:type="dxa"/>
            <w:bottom w:w="0" w:type="dxa"/>
            <w:right w:w="108" w:type="dxa"/>
          </w:tblCellMar>
        </w:tblPrEx>
        <w:trPr>
          <w:trHeight w:val="1222"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绩效目标（6分）　</w:t>
            </w: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绩效目标合理性（3分）</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①项目绩效目标是否与实际工作内容具有相关性；</w:t>
            </w:r>
            <w:r>
              <w:rPr>
                <w:rFonts w:hint="eastAsia" w:ascii="仿宋" w:hAnsi="仿宋" w:eastAsia="仿宋" w:cs="宋体"/>
              </w:rPr>
              <w:br w:type="textWrapping"/>
            </w:r>
            <w:r>
              <w:rPr>
                <w:rFonts w:hint="eastAsia" w:ascii="仿宋" w:hAnsi="仿宋" w:eastAsia="仿宋" w:cs="宋体"/>
              </w:rPr>
              <w:t>②项目预期产出效益和效果是否符合正常的业绩水平；</w:t>
            </w:r>
            <w:r>
              <w:rPr>
                <w:rFonts w:hint="eastAsia" w:ascii="仿宋" w:hAnsi="仿宋" w:eastAsia="仿宋" w:cs="宋体"/>
              </w:rPr>
              <w:br w:type="textWrapping"/>
            </w:r>
            <w:r>
              <w:rPr>
                <w:rFonts w:hint="eastAsia" w:ascii="仿宋" w:hAnsi="仿宋" w:eastAsia="仿宋" w:cs="宋体"/>
              </w:rPr>
              <w:t>③是否与预算确定的项目投资额或资金量相匹配。</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1072"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绩效指标明确性（3分）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①是否将项目绩效目标细化分解为具体的绩效指标；</w:t>
            </w:r>
            <w:r>
              <w:rPr>
                <w:rFonts w:hint="eastAsia" w:ascii="仿宋" w:hAnsi="仿宋" w:eastAsia="仿宋" w:cs="宋体"/>
              </w:rPr>
              <w:br w:type="textWrapping"/>
            </w:r>
            <w:r>
              <w:rPr>
                <w:rFonts w:hint="eastAsia" w:ascii="仿宋" w:hAnsi="仿宋" w:eastAsia="仿宋" w:cs="宋体"/>
              </w:rPr>
              <w:t>②项目是否通过清晰、可衡量的指标值予以体现；</w:t>
            </w:r>
            <w:r>
              <w:rPr>
                <w:rFonts w:hint="eastAsia" w:ascii="仿宋" w:hAnsi="仿宋" w:eastAsia="仿宋" w:cs="宋体"/>
              </w:rPr>
              <w:br w:type="textWrapping"/>
            </w:r>
            <w:r>
              <w:rPr>
                <w:rFonts w:hint="eastAsia" w:ascii="仿宋" w:hAnsi="仿宋" w:eastAsia="仿宋" w:cs="宋体"/>
              </w:rPr>
              <w:t>③是否与项目目标任务数或计划数相对应。</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rPr>
            </w:pPr>
            <w:r>
              <w:rPr>
                <w:rFonts w:hint="eastAsia" w:ascii="仿宋" w:hAnsi="仿宋" w:eastAsia="仿宋" w:cs="宋体"/>
              </w:rPr>
              <w:t>3</w:t>
            </w:r>
          </w:p>
        </w:tc>
      </w:tr>
      <w:tr>
        <w:tblPrEx>
          <w:tblCellMar>
            <w:top w:w="0" w:type="dxa"/>
            <w:left w:w="108" w:type="dxa"/>
            <w:bottom w:w="0" w:type="dxa"/>
            <w:right w:w="108" w:type="dxa"/>
          </w:tblCellMar>
        </w:tblPrEx>
        <w:trPr>
          <w:trHeight w:val="123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资金投入（8分）</w:t>
            </w: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预算编制科学性（4分）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①预算编制是否经过科学论证；</w:t>
            </w:r>
            <w:r>
              <w:rPr>
                <w:rFonts w:hint="eastAsia" w:ascii="仿宋" w:hAnsi="仿宋" w:eastAsia="仿宋" w:cs="宋体"/>
              </w:rPr>
              <w:br w:type="textWrapping"/>
            </w:r>
            <w:r>
              <w:rPr>
                <w:rFonts w:hint="eastAsia" w:ascii="仿宋" w:hAnsi="仿宋" w:eastAsia="仿宋" w:cs="宋体"/>
              </w:rPr>
              <w:t>②预算内容是否与项目内容匹配；</w:t>
            </w:r>
            <w:r>
              <w:rPr>
                <w:rFonts w:hint="eastAsia" w:ascii="仿宋" w:hAnsi="仿宋" w:eastAsia="仿宋" w:cs="宋体"/>
              </w:rPr>
              <w:br w:type="textWrapping"/>
            </w:r>
            <w:r>
              <w:rPr>
                <w:rFonts w:hint="eastAsia" w:ascii="仿宋" w:hAnsi="仿宋" w:eastAsia="仿宋" w:cs="宋体"/>
              </w:rPr>
              <w:t>③预算额度测算依据是否充分，是否按照标准编制；</w:t>
            </w:r>
            <w:r>
              <w:rPr>
                <w:rFonts w:hint="eastAsia" w:ascii="仿宋" w:hAnsi="仿宋" w:eastAsia="仿宋" w:cs="宋体"/>
              </w:rPr>
              <w:br w:type="textWrapping"/>
            </w:r>
            <w:r>
              <w:rPr>
                <w:rFonts w:hint="eastAsia" w:ascii="仿宋" w:hAnsi="仿宋" w:eastAsia="仿宋" w:cs="宋体"/>
              </w:rPr>
              <w:t>④预算确定的项目投资额或资金量是否与工作任务相匹配。</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rPr>
            </w:pPr>
            <w:r>
              <w:rPr>
                <w:rFonts w:hint="eastAsia" w:ascii="仿宋" w:hAnsi="仿宋" w:eastAsia="仿宋" w:cs="宋体"/>
              </w:rPr>
              <w:t>2</w:t>
            </w:r>
          </w:p>
        </w:tc>
      </w:tr>
      <w:tr>
        <w:tblPrEx>
          <w:tblCellMar>
            <w:top w:w="0" w:type="dxa"/>
            <w:left w:w="108" w:type="dxa"/>
            <w:bottom w:w="0" w:type="dxa"/>
            <w:right w:w="108" w:type="dxa"/>
          </w:tblCellMar>
        </w:tblPrEx>
        <w:trPr>
          <w:trHeight w:val="274"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资金分配合理性（4分）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sz w:val="24"/>
                <w:szCs w:val="24"/>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①预算资金分配依据是否充分；</w:t>
            </w:r>
            <w:r>
              <w:rPr>
                <w:rFonts w:hint="eastAsia" w:ascii="仿宋" w:hAnsi="仿宋" w:eastAsia="仿宋" w:cs="宋体"/>
              </w:rPr>
              <w:br w:type="textWrapping"/>
            </w:r>
            <w:r>
              <w:rPr>
                <w:rFonts w:hint="eastAsia" w:ascii="仿宋" w:hAnsi="仿宋" w:eastAsia="仿宋" w:cs="宋体"/>
              </w:rPr>
              <w:t>②资金分配额度是否合理，与</w:t>
            </w:r>
            <w:r>
              <w:rPr>
                <w:rFonts w:hint="eastAsia" w:ascii="仿宋" w:hAnsi="仿宋" w:eastAsia="仿宋" w:cs="宋体"/>
                <w:lang w:eastAsia="zh-CN"/>
              </w:rPr>
              <w:t>福州市仓山区环境卫生中心</w:t>
            </w:r>
            <w:r>
              <w:rPr>
                <w:rFonts w:hint="eastAsia" w:ascii="仿宋" w:hAnsi="仿宋" w:eastAsia="仿宋" w:cs="宋体"/>
                <w:lang w:val="en-US" w:eastAsia="zh-CN"/>
              </w:rPr>
              <w:t>道路清扫经费</w:t>
            </w:r>
            <w:r>
              <w:rPr>
                <w:rFonts w:hint="eastAsia" w:ascii="仿宋" w:hAnsi="仿宋" w:eastAsia="仿宋" w:cs="宋体"/>
              </w:rPr>
              <w:t>项目拟安排任务是否相适应。</w:t>
            </w:r>
          </w:p>
          <w:p>
            <w:pPr>
              <w:rPr>
                <w:rFonts w:hint="eastAsia" w:ascii="仿宋" w:hAnsi="仿宋" w:eastAsia="仿宋" w:cs="宋体"/>
              </w:rPr>
            </w:pPr>
            <w:r>
              <w:rPr>
                <w:rFonts w:hint="eastAsia" w:ascii="仿宋" w:hAnsi="仿宋" w:eastAsia="仿宋" w:cs="宋体"/>
              </w:rPr>
              <w:t>是得满分，一项不符扣2分，扣完为止。</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rPr>
            </w:pPr>
            <w:r>
              <w:rPr>
                <w:rFonts w:hint="eastAsia" w:ascii="仿宋" w:hAnsi="仿宋" w:eastAsia="仿宋" w:cs="宋体"/>
              </w:rPr>
              <w:t>4</w:t>
            </w:r>
          </w:p>
        </w:tc>
      </w:tr>
      <w:tr>
        <w:tblPrEx>
          <w:tblCellMar>
            <w:top w:w="0" w:type="dxa"/>
            <w:left w:w="108" w:type="dxa"/>
            <w:bottom w:w="0" w:type="dxa"/>
            <w:right w:w="108" w:type="dxa"/>
          </w:tblCellMar>
        </w:tblPrEx>
        <w:trPr>
          <w:trHeight w:val="1087" w:hRule="atLeast"/>
        </w:trPr>
        <w:tc>
          <w:tcPr>
            <w:tcW w:w="704" w:type="dxa"/>
            <w:vMerge w:val="restart"/>
            <w:tcBorders>
              <w:top w:val="nil"/>
              <w:left w:val="single" w:color="auto" w:sz="4" w:space="0"/>
              <w:right w:val="single" w:color="auto" w:sz="4" w:space="0"/>
            </w:tcBorders>
            <w:vAlign w:val="center"/>
          </w:tcPr>
          <w:p>
            <w:pPr>
              <w:rPr>
                <w:rFonts w:hint="eastAsia" w:ascii="仿宋" w:hAnsi="仿宋" w:eastAsia="仿宋" w:cs="宋体"/>
              </w:rPr>
            </w:pPr>
            <w:r>
              <w:rPr>
                <w:rFonts w:hint="eastAsia" w:ascii="仿宋" w:hAnsi="仿宋" w:eastAsia="仿宋" w:cs="宋体"/>
              </w:rPr>
              <w:t>过程（20分）</w:t>
            </w:r>
          </w:p>
        </w:tc>
        <w:tc>
          <w:tcPr>
            <w:tcW w:w="851" w:type="dxa"/>
            <w:vMerge w:val="restart"/>
            <w:tcBorders>
              <w:top w:val="nil"/>
              <w:left w:val="single" w:color="auto" w:sz="4" w:space="0"/>
              <w:right w:val="single" w:color="auto" w:sz="4" w:space="0"/>
            </w:tcBorders>
            <w:vAlign w:val="center"/>
          </w:tcPr>
          <w:p>
            <w:pPr>
              <w:rPr>
                <w:rFonts w:hint="eastAsia" w:ascii="仿宋" w:hAnsi="仿宋" w:eastAsia="仿宋" w:cs="宋体"/>
              </w:rPr>
            </w:pPr>
            <w:r>
              <w:rPr>
                <w:rFonts w:hint="eastAsia" w:ascii="仿宋" w:hAnsi="仿宋" w:eastAsia="仿宋" w:cs="宋体"/>
              </w:rPr>
              <w:t>资金管理（10分）</w:t>
            </w: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资金到位率</w:t>
            </w:r>
          </w:p>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（3分）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Arial"/>
                <w:snapToGrid w:val="0"/>
                <w:color w:val="000000"/>
                <w:sz w:val="21"/>
                <w:szCs w:val="21"/>
                <w:lang w:val="en-US" w:eastAsia="zh-CN" w:bidi="ar-SA"/>
              </w:rPr>
            </w:pPr>
            <w:r>
              <w:rPr>
                <w:rFonts w:hint="eastAsia" w:ascii="仿宋" w:hAnsi="仿宋" w:eastAsia="仿宋" w:cs="宋体"/>
              </w:rPr>
              <w:t>资金到位率=（实际到位资金/预算资金）×100%。</w:t>
            </w:r>
            <w:r>
              <w:rPr>
                <w:rFonts w:hint="eastAsia" w:ascii="仿宋" w:hAnsi="仿宋" w:eastAsia="仿宋"/>
              </w:rPr>
              <w:t>实际</w:t>
            </w:r>
            <w:r>
              <w:rPr>
                <w:rFonts w:hint="eastAsia" w:ascii="仿宋" w:hAnsi="仿宋" w:eastAsia="仿宋" w:cs="宋体"/>
              </w:rPr>
              <w:t>得分</w:t>
            </w:r>
            <w:r>
              <w:rPr>
                <w:rFonts w:ascii="仿宋" w:hAnsi="仿宋" w:eastAsia="仿宋" w:cs="宋体"/>
              </w:rPr>
              <w:t>=</w:t>
            </w:r>
            <w:r>
              <w:rPr>
                <w:rFonts w:hint="eastAsia" w:ascii="仿宋" w:hAnsi="仿宋" w:eastAsia="仿宋" w:cs="宋体"/>
              </w:rPr>
              <w:t>3×资金</w:t>
            </w:r>
            <w:r>
              <w:rPr>
                <w:rFonts w:hint="eastAsia" w:ascii="仿宋" w:hAnsi="仿宋" w:eastAsia="仿宋"/>
              </w:rPr>
              <w:t>到位率</w:t>
            </w:r>
          </w:p>
        </w:tc>
        <w:tc>
          <w:tcPr>
            <w:tcW w:w="993"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3</w:t>
            </w:r>
          </w:p>
        </w:tc>
      </w:tr>
      <w:tr>
        <w:tblPrEx>
          <w:tblCellMar>
            <w:top w:w="0" w:type="dxa"/>
            <w:left w:w="108" w:type="dxa"/>
            <w:bottom w:w="0" w:type="dxa"/>
            <w:right w:w="108" w:type="dxa"/>
          </w:tblCellMar>
        </w:tblPrEx>
        <w:trPr>
          <w:trHeight w:val="274" w:hRule="atLeast"/>
        </w:trPr>
        <w:tc>
          <w:tcPr>
            <w:tcW w:w="704"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1559"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预算执行率</w:t>
            </w:r>
          </w:p>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（3分）</w:t>
            </w:r>
          </w:p>
        </w:tc>
        <w:tc>
          <w:tcPr>
            <w:tcW w:w="4819" w:type="dxa"/>
            <w:tcBorders>
              <w:top w:val="single" w:color="auto" w:sz="4" w:space="0"/>
              <w:left w:val="nil"/>
              <w:bottom w:val="single" w:color="auto" w:sz="4" w:space="0"/>
              <w:right w:val="single" w:color="auto" w:sz="4" w:space="0"/>
            </w:tcBorders>
            <w:shd w:val="clear" w:color="auto" w:fill="auto"/>
            <w:vAlign w:val="center"/>
          </w:tcPr>
          <w:p>
            <w:pPr>
              <w:rPr>
                <w:rFonts w:hint="eastAsia" w:ascii="仿宋" w:hAnsi="仿宋" w:eastAsia="仿宋" w:cs="宋体"/>
                <w:snapToGrid w:val="0"/>
                <w:color w:val="000000"/>
                <w:sz w:val="21"/>
                <w:szCs w:val="21"/>
                <w:lang w:val="en-US" w:eastAsia="zh-CN" w:bidi="ar-SA"/>
              </w:rPr>
            </w:pPr>
            <w:r>
              <w:rPr>
                <w:rFonts w:hint="eastAsia" w:ascii="仿宋" w:hAnsi="仿宋" w:eastAsia="仿宋" w:cs="宋体"/>
              </w:rPr>
              <w:t>预算执行率=（实际支出资金/实际到位资金）×100%。</w:t>
            </w:r>
            <w:r>
              <w:rPr>
                <w:rFonts w:hint="eastAsia" w:ascii="仿宋" w:hAnsi="仿宋" w:eastAsia="仿宋" w:cs="宋体"/>
              </w:rPr>
              <w:br w:type="textWrapping"/>
            </w:r>
            <w:r>
              <w:rPr>
                <w:rFonts w:hint="eastAsia" w:ascii="仿宋" w:hAnsi="仿宋" w:eastAsia="仿宋" w:cs="宋体"/>
              </w:rPr>
              <w:t>预算执行率≥</w:t>
            </w:r>
            <w:r>
              <w:rPr>
                <w:rFonts w:ascii="仿宋" w:hAnsi="仿宋" w:eastAsia="仿宋" w:cs="宋体"/>
              </w:rPr>
              <w:t>95%</w:t>
            </w:r>
            <w:r>
              <w:rPr>
                <w:rFonts w:hint="eastAsia" w:ascii="仿宋" w:hAnsi="仿宋" w:eastAsia="仿宋" w:cs="宋体"/>
              </w:rPr>
              <w:t>得满分，否则得分</w:t>
            </w:r>
            <w:r>
              <w:rPr>
                <w:rFonts w:ascii="仿宋" w:hAnsi="仿宋" w:eastAsia="仿宋" w:cs="宋体"/>
              </w:rPr>
              <w:t>=</w:t>
            </w:r>
            <w:r>
              <w:rPr>
                <w:rFonts w:hint="eastAsia" w:ascii="仿宋" w:hAnsi="仿宋" w:eastAsia="仿宋" w:cs="宋体"/>
              </w:rPr>
              <w:t>3×预算执行率。</w:t>
            </w:r>
          </w:p>
        </w:tc>
        <w:tc>
          <w:tcPr>
            <w:tcW w:w="993" w:type="dxa"/>
            <w:tcBorders>
              <w:top w:val="single" w:color="auto" w:sz="4" w:space="0"/>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2.</w:t>
            </w:r>
            <w:r>
              <w:rPr>
                <w:rFonts w:hint="eastAsia" w:ascii="仿宋" w:hAnsi="仿宋" w:eastAsia="仿宋" w:cs="宋体"/>
                <w:lang w:val="en-US" w:eastAsia="zh-CN"/>
              </w:rPr>
              <w:t>8</w:t>
            </w:r>
          </w:p>
        </w:tc>
      </w:tr>
      <w:tr>
        <w:tblPrEx>
          <w:tblCellMar>
            <w:top w:w="0" w:type="dxa"/>
            <w:left w:w="108" w:type="dxa"/>
            <w:bottom w:w="0" w:type="dxa"/>
            <w:right w:w="108" w:type="dxa"/>
          </w:tblCellMar>
        </w:tblPrEx>
        <w:trPr>
          <w:trHeight w:val="274" w:hRule="atLeast"/>
        </w:trPr>
        <w:tc>
          <w:tcPr>
            <w:tcW w:w="704"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资金使用合规性（4分）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snapToGrid w:val="0"/>
                <w:color w:val="000000"/>
                <w:sz w:val="21"/>
                <w:szCs w:val="21"/>
                <w:lang w:val="en-US" w:eastAsia="zh-CN" w:bidi="ar-SA"/>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①是否符合国家财经法规和财务管理制度以及有关专项资金管理办法的规定；</w:t>
            </w:r>
            <w:r>
              <w:rPr>
                <w:rFonts w:hint="eastAsia" w:ascii="仿宋" w:hAnsi="仿宋" w:eastAsia="仿宋" w:cs="宋体"/>
              </w:rPr>
              <w:br w:type="textWrapping"/>
            </w:r>
            <w:r>
              <w:rPr>
                <w:rFonts w:hint="eastAsia" w:ascii="仿宋" w:hAnsi="仿宋" w:eastAsia="仿宋" w:cs="宋体"/>
              </w:rPr>
              <w:t>②资金的拨付是否有完整的审批程序和手续；</w:t>
            </w:r>
            <w:r>
              <w:rPr>
                <w:rFonts w:hint="eastAsia" w:ascii="仿宋" w:hAnsi="仿宋" w:eastAsia="仿宋" w:cs="宋体"/>
              </w:rPr>
              <w:br w:type="textWrapping"/>
            </w:r>
            <w:r>
              <w:rPr>
                <w:rFonts w:hint="eastAsia" w:ascii="仿宋" w:hAnsi="仿宋" w:eastAsia="仿宋" w:cs="宋体"/>
              </w:rPr>
              <w:t>③是否符合项目预算批复或合同规定的用途；</w:t>
            </w:r>
            <w:r>
              <w:rPr>
                <w:rFonts w:hint="eastAsia" w:ascii="仿宋" w:hAnsi="仿宋" w:eastAsia="仿宋" w:cs="宋体"/>
              </w:rPr>
              <w:br w:type="textWrapping"/>
            </w:r>
            <w:r>
              <w:rPr>
                <w:rFonts w:hint="eastAsia" w:ascii="仿宋" w:hAnsi="仿宋" w:eastAsia="仿宋" w:cs="宋体"/>
              </w:rPr>
              <w:t>④是否不存在截留、挤占、挪用、虚列支出等情况。</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4</w:t>
            </w:r>
          </w:p>
        </w:tc>
      </w:tr>
      <w:tr>
        <w:tblPrEx>
          <w:tblCellMar>
            <w:top w:w="0" w:type="dxa"/>
            <w:left w:w="108" w:type="dxa"/>
            <w:bottom w:w="0" w:type="dxa"/>
            <w:right w:w="108" w:type="dxa"/>
          </w:tblCellMar>
        </w:tblPrEx>
        <w:trPr>
          <w:trHeight w:val="274" w:hRule="atLeast"/>
        </w:trPr>
        <w:tc>
          <w:tcPr>
            <w:tcW w:w="704" w:type="dxa"/>
            <w:vMerge w:val="continue"/>
            <w:tcBorders>
              <w:left w:val="single" w:color="auto" w:sz="4" w:space="0"/>
              <w:right w:val="single" w:color="auto" w:sz="4" w:space="0"/>
            </w:tcBorders>
            <w:vAlign w:val="center"/>
          </w:tcPr>
          <w:p>
            <w:pPr>
              <w:rPr>
                <w:rFonts w:hint="eastAsia" w:ascii="仿宋" w:hAnsi="仿宋" w:eastAsia="仿宋" w:cs="宋体"/>
              </w:rPr>
            </w:pPr>
          </w:p>
        </w:tc>
        <w:tc>
          <w:tcPr>
            <w:tcW w:w="851" w:type="dxa"/>
            <w:vMerge w:val="restart"/>
            <w:tcBorders>
              <w:top w:val="nil"/>
              <w:left w:val="single" w:color="auto" w:sz="4" w:space="0"/>
              <w:right w:val="single" w:color="auto" w:sz="4" w:space="0"/>
            </w:tcBorders>
            <w:vAlign w:val="center"/>
          </w:tcPr>
          <w:p>
            <w:pPr>
              <w:rPr>
                <w:rFonts w:hint="eastAsia" w:ascii="仿宋" w:hAnsi="仿宋" w:eastAsia="仿宋" w:cs="宋体"/>
              </w:rPr>
            </w:pPr>
            <w:r>
              <w:rPr>
                <w:rFonts w:hint="eastAsia" w:ascii="仿宋" w:hAnsi="仿宋" w:eastAsia="仿宋" w:cs="宋体"/>
              </w:rPr>
              <w:t>组织实施（10分）</w:t>
            </w: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管理制度健全性（5分）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评价要点：</w:t>
            </w:r>
          </w:p>
          <w:p>
            <w:pPr>
              <w:rPr>
                <w:rFonts w:hint="eastAsia" w:ascii="仿宋" w:hAnsi="仿宋" w:eastAsia="仿宋" w:cs="宋体"/>
              </w:rPr>
            </w:pPr>
            <w:r>
              <w:rPr>
                <w:rFonts w:hint="eastAsia" w:ascii="仿宋" w:hAnsi="仿宋" w:eastAsia="仿宋" w:cs="宋体"/>
              </w:rPr>
              <w:t>①项目是否已制定或具有相应的财务管理制</w:t>
            </w:r>
          </w:p>
          <w:p>
            <w:pPr>
              <w:rPr>
                <w:rFonts w:hint="eastAsia" w:ascii="仿宋" w:hAnsi="仿宋" w:eastAsia="仿宋" w:cs="宋体"/>
              </w:rPr>
            </w:pPr>
            <w:r>
              <w:rPr>
                <w:rFonts w:hint="eastAsia" w:ascii="仿宋" w:hAnsi="仿宋" w:eastAsia="仿宋" w:cs="宋体"/>
              </w:rPr>
              <w:t>度；</w:t>
            </w:r>
          </w:p>
          <w:p>
            <w:pPr>
              <w:rPr>
                <w:rFonts w:hint="eastAsia" w:ascii="仿宋" w:hAnsi="仿宋" w:eastAsia="仿宋" w:cs="宋体"/>
              </w:rPr>
            </w:pPr>
            <w:r>
              <w:rPr>
                <w:rFonts w:hint="eastAsia" w:ascii="仿宋" w:hAnsi="仿宋" w:eastAsia="仿宋" w:cs="宋体"/>
              </w:rPr>
              <w:t>②项目的财务管理制度是否合法、合规、完整；</w:t>
            </w:r>
          </w:p>
          <w:p>
            <w:pPr>
              <w:rPr>
                <w:rFonts w:hint="eastAsia" w:ascii="仿宋" w:hAnsi="仿宋" w:eastAsia="仿宋" w:cs="宋体"/>
              </w:rPr>
            </w:pPr>
            <w:r>
              <w:rPr>
                <w:rFonts w:hint="eastAsia" w:ascii="仿宋" w:hAnsi="仿宋" w:eastAsia="仿宋" w:cs="宋体"/>
              </w:rPr>
              <w:t>③项目是否已制定或具有相应的项目管理制度；</w:t>
            </w:r>
          </w:p>
          <w:p>
            <w:pPr>
              <w:rPr>
                <w:rFonts w:hint="eastAsia" w:ascii="仿宋" w:hAnsi="仿宋" w:eastAsia="仿宋" w:cs="宋体"/>
              </w:rPr>
            </w:pPr>
            <w:r>
              <w:rPr>
                <w:rFonts w:hint="eastAsia" w:ascii="仿宋" w:hAnsi="仿宋" w:eastAsia="仿宋" w:cs="宋体"/>
              </w:rPr>
              <w:t>④项目管理制度是否合法、合规、完整。</w:t>
            </w:r>
          </w:p>
          <w:p>
            <w:pPr>
              <w:rPr>
                <w:rFonts w:hint="eastAsia" w:ascii="仿宋" w:hAnsi="仿宋" w:eastAsia="仿宋" w:cs="宋体"/>
                <w:snapToGrid w:val="0"/>
                <w:color w:val="000000"/>
                <w:sz w:val="21"/>
                <w:szCs w:val="21"/>
                <w:lang w:val="en-US" w:eastAsia="zh-CN" w:bidi="ar-SA"/>
              </w:rPr>
            </w:pPr>
            <w:r>
              <w:rPr>
                <w:rFonts w:hint="eastAsia" w:ascii="仿宋" w:hAnsi="仿宋" w:eastAsia="仿宋" w:cs="宋体"/>
              </w:rPr>
              <w:t>是得满分，一项不符扣1分，扣完为止。</w:t>
            </w:r>
          </w:p>
        </w:tc>
        <w:tc>
          <w:tcPr>
            <w:tcW w:w="993"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4</w:t>
            </w:r>
          </w:p>
        </w:tc>
      </w:tr>
      <w:tr>
        <w:tblPrEx>
          <w:tblCellMar>
            <w:top w:w="0" w:type="dxa"/>
            <w:left w:w="108" w:type="dxa"/>
            <w:bottom w:w="0" w:type="dxa"/>
            <w:right w:w="108" w:type="dxa"/>
          </w:tblCellMar>
        </w:tblPrEx>
        <w:trPr>
          <w:trHeight w:val="274" w:hRule="atLeast"/>
        </w:trPr>
        <w:tc>
          <w:tcPr>
            <w:tcW w:w="704"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1559"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制度执行有效性（5分）</w:t>
            </w:r>
          </w:p>
        </w:tc>
        <w:tc>
          <w:tcPr>
            <w:tcW w:w="4819" w:type="dxa"/>
            <w:tcBorders>
              <w:top w:val="nil"/>
              <w:left w:val="nil"/>
              <w:bottom w:val="single" w:color="auto" w:sz="4" w:space="0"/>
              <w:right w:val="single" w:color="auto" w:sz="4" w:space="0"/>
            </w:tcBorders>
            <w:shd w:val="clear" w:color="auto" w:fill="auto"/>
            <w:vAlign w:val="center"/>
          </w:tcPr>
          <w:p>
            <w:pPr>
              <w:rPr>
                <w:rFonts w:hint="eastAsia" w:ascii="仿宋" w:hAnsi="仿宋" w:eastAsia="仿宋" w:cs="宋体"/>
                <w:snapToGrid w:val="0"/>
                <w:color w:val="000000"/>
                <w:sz w:val="21"/>
                <w:szCs w:val="21"/>
                <w:lang w:val="en-US" w:eastAsia="zh-CN" w:bidi="ar-SA"/>
              </w:rPr>
            </w:pPr>
            <w:r>
              <w:rPr>
                <w:rFonts w:hint="eastAsia" w:ascii="仿宋" w:hAnsi="仿宋" w:eastAsia="仿宋" w:cs="宋体"/>
              </w:rPr>
              <w:t>评价要点：</w:t>
            </w:r>
            <w:r>
              <w:rPr>
                <w:rFonts w:hint="eastAsia" w:ascii="仿宋" w:hAnsi="仿宋" w:eastAsia="仿宋" w:cs="宋体"/>
              </w:rPr>
              <w:br w:type="textWrapping"/>
            </w:r>
            <w:r>
              <w:rPr>
                <w:rFonts w:hint="eastAsia" w:ascii="仿宋" w:hAnsi="仿宋" w:eastAsia="仿宋" w:cs="宋体"/>
              </w:rPr>
              <w:t>①项目是否遵守相关法律法规和相关管理规定；</w:t>
            </w:r>
            <w:r>
              <w:rPr>
                <w:rFonts w:hint="eastAsia" w:ascii="仿宋" w:hAnsi="仿宋" w:eastAsia="仿宋" w:cs="宋体"/>
              </w:rPr>
              <w:br w:type="textWrapping"/>
            </w:r>
            <w:r>
              <w:rPr>
                <w:rFonts w:hint="eastAsia" w:ascii="仿宋" w:hAnsi="仿宋" w:eastAsia="仿宋" w:cs="宋体"/>
              </w:rPr>
              <w:t>②项目调整及支出调整手续是否完备；</w:t>
            </w:r>
            <w:r>
              <w:rPr>
                <w:rFonts w:hint="eastAsia" w:ascii="仿宋" w:hAnsi="仿宋" w:eastAsia="仿宋" w:cs="宋体"/>
              </w:rPr>
              <w:br w:type="textWrapping"/>
            </w:r>
            <w:r>
              <w:rPr>
                <w:rFonts w:hint="eastAsia" w:ascii="仿宋" w:hAnsi="仿宋" w:eastAsia="仿宋" w:cs="宋体"/>
              </w:rPr>
              <w:t>③项目合同书、验收报告、技术鉴定等资料是否齐全并及时归档；</w:t>
            </w:r>
            <w:r>
              <w:rPr>
                <w:rFonts w:hint="eastAsia" w:ascii="仿宋" w:hAnsi="仿宋" w:eastAsia="仿宋" w:cs="宋体"/>
              </w:rPr>
              <w:br w:type="textWrapping"/>
            </w:r>
            <w:r>
              <w:rPr>
                <w:rFonts w:hint="eastAsia" w:ascii="仿宋" w:hAnsi="仿宋" w:eastAsia="仿宋" w:cs="宋体"/>
              </w:rPr>
              <w:t>④项目实施的人员条件、场地设备、信息支撑等是否落实到位。</w:t>
            </w:r>
            <w:r>
              <w:rPr>
                <w:rFonts w:hint="eastAsia" w:ascii="仿宋" w:hAnsi="仿宋" w:eastAsia="仿宋" w:cs="宋体"/>
              </w:rPr>
              <w:br w:type="textWrapping"/>
            </w:r>
            <w:r>
              <w:rPr>
                <w:rFonts w:hint="eastAsia" w:ascii="仿宋" w:hAnsi="仿宋" w:eastAsia="仿宋" w:cs="宋体"/>
              </w:rPr>
              <w:t>是得满分，一项不符扣1分，扣完为止。</w:t>
            </w:r>
          </w:p>
        </w:tc>
        <w:tc>
          <w:tcPr>
            <w:tcW w:w="993" w:type="dxa"/>
            <w:tcBorders>
              <w:top w:val="nil"/>
              <w:left w:val="nil"/>
              <w:bottom w:val="single" w:color="auto" w:sz="4" w:space="0"/>
              <w:right w:val="single" w:color="auto" w:sz="4" w:space="0"/>
            </w:tcBorders>
            <w:shd w:val="clear" w:color="auto" w:fill="auto"/>
            <w:vAlign w:val="center"/>
          </w:tcPr>
          <w:p>
            <w:pPr>
              <w:jc w:val="center"/>
              <w:rPr>
                <w:rFonts w:hint="eastAsia" w:ascii="仿宋" w:hAnsi="仿宋" w:eastAsia="仿宋" w:cs="宋体"/>
                <w:snapToGrid w:val="0"/>
                <w:color w:val="000000"/>
                <w:sz w:val="21"/>
                <w:szCs w:val="21"/>
                <w:lang w:val="en-US" w:eastAsia="zh-CN" w:bidi="ar-SA"/>
              </w:rPr>
            </w:pPr>
            <w:r>
              <w:rPr>
                <w:rFonts w:hint="eastAsia" w:ascii="仿宋" w:hAnsi="仿宋" w:eastAsia="仿宋" w:cs="宋体"/>
              </w:rPr>
              <w:t>4</w:t>
            </w:r>
          </w:p>
        </w:tc>
      </w:tr>
      <w:tr>
        <w:tblPrEx>
          <w:tblCellMar>
            <w:top w:w="0" w:type="dxa"/>
            <w:left w:w="108" w:type="dxa"/>
            <w:bottom w:w="0" w:type="dxa"/>
            <w:right w:w="108" w:type="dxa"/>
          </w:tblCellMar>
        </w:tblPrEx>
        <w:trPr>
          <w:trHeight w:val="1107"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产出（30分）</w:t>
            </w: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产出数量（10分）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pStyle w:val="8"/>
              <w:adjustRightInd w:val="0"/>
              <w:spacing w:line="240" w:lineRule="auto"/>
              <w:ind w:firstLine="0" w:firstLineChars="0"/>
              <w:jc w:val="center"/>
              <w:outlineLvl w:val="9"/>
              <w:rPr>
                <w:rFonts w:hint="eastAsia" w:ascii="仿宋" w:hAnsi="仿宋" w:eastAsia="仿宋" w:cs="宋体"/>
                <w:snapToGrid w:val="0"/>
                <w:color w:val="000000"/>
                <w:kern w:val="0"/>
                <w:sz w:val="21"/>
                <w:szCs w:val="21"/>
                <w:lang w:val="en-US" w:eastAsia="zh-CN" w:bidi="ar"/>
              </w:rPr>
            </w:pPr>
            <w:r>
              <w:rPr>
                <w:rFonts w:hint="eastAsia" w:ascii="仿宋" w:hAnsi="仿宋" w:eastAsia="仿宋" w:cs="宋体"/>
                <w:snapToGrid w:val="0"/>
                <w:color w:val="000000"/>
                <w:kern w:val="0"/>
                <w:sz w:val="21"/>
                <w:szCs w:val="21"/>
                <w:lang w:val="en-US" w:eastAsia="zh-CN" w:bidi="ar"/>
              </w:rPr>
              <w:t>全区道路保洁投入环卫机械设备达标率</w:t>
            </w:r>
          </w:p>
          <w:p>
            <w:pPr>
              <w:pStyle w:val="8"/>
              <w:adjustRightInd w:val="0"/>
              <w:spacing w:line="240" w:lineRule="auto"/>
              <w:ind w:firstLine="0" w:firstLineChars="0"/>
              <w:jc w:val="center"/>
              <w:outlineLvl w:val="9"/>
              <w:rPr>
                <w:rFonts w:hint="eastAsia" w:ascii="仿宋" w:hAnsi="仿宋" w:eastAsia="仿宋" w:cs="宋体"/>
                <w:b/>
                <w:bCs/>
                <w:kern w:val="0"/>
                <w:szCs w:val="21"/>
              </w:rPr>
            </w:pPr>
            <w:r>
              <w:rPr>
                <w:rFonts w:hint="eastAsia" w:ascii="仿宋" w:hAnsi="仿宋" w:eastAsia="仿宋" w:cs="宋体"/>
                <w:snapToGrid w:val="0"/>
                <w:color w:val="000000"/>
                <w:kern w:val="0"/>
                <w:sz w:val="21"/>
                <w:szCs w:val="21"/>
              </w:rPr>
              <w:t>（</w:t>
            </w:r>
            <w:r>
              <w:rPr>
                <w:rFonts w:hint="eastAsia" w:ascii="仿宋" w:hAnsi="仿宋" w:eastAsia="仿宋" w:cs="宋体"/>
                <w:snapToGrid w:val="0"/>
                <w:color w:val="000000"/>
                <w:kern w:val="0"/>
                <w:sz w:val="21"/>
                <w:szCs w:val="21"/>
                <w:lang w:val="en-US" w:eastAsia="zh-CN"/>
              </w:rPr>
              <w:t>4</w:t>
            </w:r>
            <w:r>
              <w:rPr>
                <w:rFonts w:hint="eastAsia" w:ascii="仿宋" w:hAnsi="仿宋" w:eastAsia="仿宋" w:cs="宋体"/>
                <w:snapToGrid w:val="0"/>
                <w:color w:val="000000"/>
                <w:kern w:val="0"/>
                <w:sz w:val="21"/>
                <w:szCs w:val="21"/>
              </w:rPr>
              <w:t>分）</w:t>
            </w:r>
          </w:p>
        </w:tc>
        <w:tc>
          <w:tcPr>
            <w:tcW w:w="4819" w:type="dxa"/>
            <w:tcBorders>
              <w:top w:val="nil"/>
              <w:left w:val="nil"/>
              <w:bottom w:val="single" w:color="auto" w:sz="4" w:space="0"/>
              <w:right w:val="single" w:color="auto" w:sz="4" w:space="0"/>
            </w:tcBorders>
            <w:shd w:val="clear" w:color="auto" w:fill="auto"/>
            <w:vAlign w:val="center"/>
          </w:tcPr>
          <w:p>
            <w:pPr>
              <w:textAlignment w:val="center"/>
              <w:rPr>
                <w:rFonts w:hint="eastAsia" w:ascii="仿宋" w:hAnsi="仿宋" w:eastAsia="仿宋" w:cs="宋体"/>
                <w:lang w:bidi="ar"/>
              </w:rPr>
            </w:pPr>
            <w:r>
              <w:rPr>
                <w:rFonts w:hint="eastAsia" w:ascii="仿宋" w:hAnsi="仿宋" w:eastAsia="仿宋" w:cs="宋体"/>
                <w:snapToGrid w:val="0"/>
                <w:color w:val="000000"/>
                <w:kern w:val="0"/>
                <w:sz w:val="21"/>
                <w:szCs w:val="21"/>
                <w:lang w:val="en-US" w:eastAsia="zh-CN" w:bidi="ar"/>
              </w:rPr>
              <w:t>全区道路保洁投入环卫机械设备</w:t>
            </w:r>
            <w:r>
              <w:rPr>
                <w:rFonts w:hint="eastAsia" w:ascii="仿宋" w:hAnsi="仿宋" w:eastAsia="仿宋" w:cs="宋体"/>
                <w:lang w:bidi="ar"/>
              </w:rPr>
              <w:t>达标率A=实际</w:t>
            </w:r>
            <w:r>
              <w:rPr>
                <w:rFonts w:hint="eastAsia" w:ascii="仿宋" w:hAnsi="仿宋" w:eastAsia="仿宋" w:cs="宋体"/>
                <w:snapToGrid w:val="0"/>
                <w:color w:val="000000"/>
                <w:kern w:val="0"/>
                <w:sz w:val="21"/>
                <w:szCs w:val="21"/>
                <w:lang w:val="en-US" w:eastAsia="zh-CN" w:bidi="ar"/>
              </w:rPr>
              <w:t>全区道路保洁投入环卫机械设备</w:t>
            </w:r>
            <w:r>
              <w:rPr>
                <w:rFonts w:hint="eastAsia" w:ascii="仿宋" w:hAnsi="仿宋" w:eastAsia="仿宋" w:cs="宋体"/>
                <w:lang w:bidi="ar"/>
              </w:rPr>
              <w:t>数/预算绩效目标</w:t>
            </w:r>
            <w:r>
              <w:rPr>
                <w:rFonts w:hint="eastAsia" w:ascii="仿宋" w:hAnsi="仿宋" w:eastAsia="仿宋" w:cs="宋体"/>
                <w:snapToGrid w:val="0"/>
                <w:color w:val="000000"/>
                <w:kern w:val="0"/>
                <w:sz w:val="21"/>
                <w:szCs w:val="21"/>
                <w:lang w:val="en-US" w:eastAsia="zh-CN" w:bidi="ar"/>
              </w:rPr>
              <w:t>全区道路保洁设施投入环卫机械设备数</w:t>
            </w:r>
            <w:r>
              <w:rPr>
                <w:rFonts w:hint="eastAsia" w:ascii="仿宋" w:hAnsi="仿宋" w:eastAsia="仿宋" w:cs="宋体"/>
                <w:lang w:bidi="ar"/>
              </w:rPr>
              <w:t>×100%</w:t>
            </w:r>
          </w:p>
          <w:p>
            <w:pPr>
              <w:textAlignment w:val="center"/>
              <w:rPr>
                <w:rFonts w:hint="eastAsia" w:ascii="仿宋" w:hAnsi="仿宋" w:eastAsia="仿宋" w:cs="宋体"/>
                <w:lang w:bidi="ar"/>
              </w:rPr>
            </w:pPr>
            <w:r>
              <w:rPr>
                <w:rFonts w:hint="eastAsia" w:ascii="仿宋" w:hAnsi="仿宋" w:eastAsia="仿宋" w:cs="宋体"/>
                <w:lang w:bidi="ar"/>
              </w:rPr>
              <w:t>A</w:t>
            </w:r>
            <w:r>
              <w:rPr>
                <w:rFonts w:hint="eastAsia" w:ascii="仿宋" w:hAnsi="仿宋" w:eastAsia="仿宋" w:cs="宋体"/>
              </w:rPr>
              <w:t>≥</w:t>
            </w:r>
            <w:r>
              <w:rPr>
                <w:rFonts w:hint="eastAsia" w:ascii="仿宋" w:hAnsi="仿宋" w:eastAsia="仿宋" w:cs="宋体"/>
                <w:lang w:bidi="ar"/>
              </w:rPr>
              <w:t>100%时得</w:t>
            </w:r>
            <w:r>
              <w:rPr>
                <w:rFonts w:hint="eastAsia" w:ascii="仿宋" w:hAnsi="仿宋" w:eastAsia="仿宋" w:cs="宋体"/>
                <w:lang w:val="en-US" w:eastAsia="zh-CN" w:bidi="ar"/>
              </w:rPr>
              <w:t>4</w:t>
            </w:r>
            <w:r>
              <w:rPr>
                <w:rFonts w:hint="eastAsia" w:ascii="仿宋" w:hAnsi="仿宋" w:eastAsia="仿宋" w:cs="宋体"/>
                <w:lang w:bidi="ar"/>
              </w:rPr>
              <w:t>分，A﹤100%时得分为</w:t>
            </w:r>
            <w:r>
              <w:rPr>
                <w:rFonts w:hint="eastAsia" w:ascii="仿宋" w:hAnsi="仿宋" w:eastAsia="仿宋" w:cs="宋体"/>
                <w:lang w:val="en-US" w:eastAsia="zh-CN" w:bidi="ar"/>
              </w:rPr>
              <w:t>4</w:t>
            </w:r>
            <w:r>
              <w:rPr>
                <w:rFonts w:hint="eastAsia" w:ascii="仿宋" w:hAnsi="仿宋" w:eastAsia="仿宋" w:cs="宋体"/>
                <w:lang w:bidi="ar"/>
              </w:rPr>
              <w:t>×A。</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lang w:val="en-US" w:eastAsia="zh-CN"/>
              </w:rPr>
            </w:pPr>
            <w:r>
              <w:rPr>
                <w:rFonts w:hint="eastAsia" w:ascii="仿宋" w:hAnsi="仿宋" w:eastAsia="仿宋" w:cs="宋体"/>
                <w:lang w:val="en-US" w:eastAsia="zh-CN"/>
              </w:rPr>
              <w:t>3.55</w:t>
            </w:r>
          </w:p>
        </w:tc>
      </w:tr>
      <w:tr>
        <w:tblPrEx>
          <w:tblCellMar>
            <w:top w:w="0" w:type="dxa"/>
            <w:left w:w="108" w:type="dxa"/>
            <w:bottom w:w="0" w:type="dxa"/>
            <w:right w:w="108" w:type="dxa"/>
          </w:tblCellMar>
        </w:tblPrEx>
        <w:trPr>
          <w:trHeight w:val="11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宋体"/>
              </w:rPr>
            </w:pPr>
            <w:r>
              <w:rPr>
                <w:rFonts w:hint="eastAsia" w:ascii="仿宋" w:hAnsi="仿宋" w:eastAsia="仿宋" w:cs="宋体"/>
                <w:lang w:val="en-US" w:eastAsia="zh-CN"/>
              </w:rPr>
              <w:t>道路</w:t>
            </w:r>
            <w:r>
              <w:rPr>
                <w:rFonts w:hint="eastAsia" w:ascii="仿宋" w:hAnsi="仿宋" w:eastAsia="仿宋" w:cs="宋体"/>
              </w:rPr>
              <w:t>每日打扫次数达标率</w:t>
            </w:r>
          </w:p>
          <w:p>
            <w:pPr>
              <w:jc w:val="center"/>
              <w:textAlignment w:val="center"/>
              <w:rPr>
                <w:rFonts w:hint="eastAsia" w:ascii="仿宋" w:hAnsi="仿宋" w:eastAsia="仿宋" w:cs="宋体"/>
              </w:rPr>
            </w:pPr>
            <w:r>
              <w:rPr>
                <w:rFonts w:hint="eastAsia" w:ascii="仿宋" w:hAnsi="仿宋" w:eastAsia="仿宋" w:cs="宋体"/>
              </w:rPr>
              <w:t>（</w:t>
            </w:r>
            <w:r>
              <w:rPr>
                <w:rFonts w:hint="eastAsia" w:ascii="仿宋" w:hAnsi="仿宋" w:eastAsia="仿宋" w:cs="宋体"/>
                <w:lang w:val="en-US" w:eastAsia="zh-CN"/>
              </w:rPr>
              <w:t>3</w:t>
            </w:r>
            <w:r>
              <w:rPr>
                <w:rFonts w:hint="eastAsia" w:ascii="仿宋" w:hAnsi="仿宋" w:eastAsia="仿宋" w:cs="宋体"/>
              </w:rPr>
              <w:t>分）</w:t>
            </w:r>
          </w:p>
        </w:tc>
        <w:tc>
          <w:tcPr>
            <w:tcW w:w="4819" w:type="dxa"/>
            <w:tcBorders>
              <w:top w:val="nil"/>
              <w:left w:val="nil"/>
              <w:bottom w:val="single" w:color="auto" w:sz="4" w:space="0"/>
              <w:right w:val="single" w:color="auto" w:sz="4" w:space="0"/>
            </w:tcBorders>
            <w:shd w:val="clear" w:color="auto" w:fill="auto"/>
            <w:vAlign w:val="center"/>
          </w:tcPr>
          <w:p>
            <w:pPr>
              <w:textAlignment w:val="center"/>
              <w:rPr>
                <w:rFonts w:hint="eastAsia" w:ascii="仿宋" w:hAnsi="仿宋" w:eastAsia="仿宋" w:cs="宋体"/>
                <w:lang w:bidi="ar"/>
              </w:rPr>
            </w:pPr>
            <w:r>
              <w:rPr>
                <w:rFonts w:hint="eastAsia" w:ascii="仿宋" w:hAnsi="仿宋" w:eastAsia="仿宋" w:cs="宋体"/>
                <w:lang w:val="en-US" w:eastAsia="zh-CN" w:bidi="ar"/>
              </w:rPr>
              <w:t>单位安排仓山区</w:t>
            </w:r>
            <w:r>
              <w:rPr>
                <w:rFonts w:hint="eastAsia" w:ascii="仿宋" w:hAnsi="仿宋" w:eastAsia="仿宋" w:cs="宋体"/>
                <w:lang w:val="en-US" w:eastAsia="zh-CN"/>
              </w:rPr>
              <w:t>道路</w:t>
            </w:r>
            <w:r>
              <w:rPr>
                <w:rFonts w:hint="eastAsia" w:ascii="仿宋" w:hAnsi="仿宋" w:eastAsia="仿宋" w:cs="宋体"/>
              </w:rPr>
              <w:t>每日打扫次数达标率</w:t>
            </w:r>
            <w:r>
              <w:rPr>
                <w:rFonts w:hint="eastAsia" w:ascii="仿宋" w:hAnsi="仿宋" w:eastAsia="仿宋" w:cs="宋体"/>
                <w:lang w:bidi="ar"/>
              </w:rPr>
              <w:t>B=实际</w:t>
            </w:r>
            <w:r>
              <w:rPr>
                <w:rFonts w:hint="eastAsia" w:ascii="仿宋" w:hAnsi="仿宋" w:eastAsia="仿宋" w:cs="宋体"/>
                <w:lang w:val="en-US" w:eastAsia="zh-CN"/>
              </w:rPr>
              <w:t>道路</w:t>
            </w:r>
            <w:r>
              <w:rPr>
                <w:rFonts w:hint="eastAsia" w:ascii="仿宋" w:hAnsi="仿宋" w:eastAsia="仿宋" w:cs="宋体"/>
              </w:rPr>
              <w:t>每日打扫次数</w:t>
            </w:r>
            <w:r>
              <w:rPr>
                <w:rFonts w:hint="eastAsia" w:ascii="仿宋" w:hAnsi="仿宋" w:eastAsia="仿宋" w:cs="宋体"/>
                <w:lang w:bidi="ar"/>
              </w:rPr>
              <w:t>/预算绩效目标设定</w:t>
            </w:r>
            <w:r>
              <w:rPr>
                <w:rFonts w:hint="eastAsia" w:ascii="仿宋" w:hAnsi="仿宋" w:eastAsia="仿宋" w:cs="宋体"/>
                <w:lang w:val="en-US" w:eastAsia="zh-CN"/>
              </w:rPr>
              <w:t>道路</w:t>
            </w:r>
            <w:r>
              <w:rPr>
                <w:rFonts w:hint="eastAsia" w:ascii="仿宋" w:hAnsi="仿宋" w:eastAsia="仿宋" w:cs="宋体"/>
              </w:rPr>
              <w:t>每日打扫次数</w:t>
            </w:r>
            <w:r>
              <w:rPr>
                <w:rFonts w:hint="eastAsia" w:ascii="仿宋" w:hAnsi="仿宋" w:eastAsia="仿宋" w:cs="宋体"/>
                <w:lang w:bidi="ar"/>
              </w:rPr>
              <w:t>×100%</w:t>
            </w:r>
          </w:p>
          <w:p>
            <w:pPr>
              <w:textAlignment w:val="center"/>
              <w:rPr>
                <w:rFonts w:hint="eastAsia" w:ascii="仿宋" w:hAnsi="仿宋" w:eastAsia="仿宋" w:cs="宋体"/>
                <w:lang w:bidi="ar"/>
              </w:rPr>
            </w:pPr>
            <w:r>
              <w:rPr>
                <w:rFonts w:hint="eastAsia" w:ascii="仿宋" w:hAnsi="仿宋" w:eastAsia="仿宋" w:cs="宋体"/>
                <w:lang w:bidi="ar"/>
              </w:rPr>
              <w:t>B</w:t>
            </w:r>
            <w:r>
              <w:rPr>
                <w:rFonts w:hint="eastAsia" w:ascii="仿宋" w:hAnsi="仿宋" w:eastAsia="仿宋" w:cs="宋体"/>
              </w:rPr>
              <w:t>≥</w:t>
            </w:r>
            <w:r>
              <w:rPr>
                <w:rFonts w:hint="eastAsia" w:ascii="仿宋" w:hAnsi="仿宋" w:eastAsia="仿宋" w:cs="宋体"/>
                <w:lang w:bidi="ar"/>
              </w:rPr>
              <w:t>100%时得</w:t>
            </w:r>
            <w:r>
              <w:rPr>
                <w:rFonts w:hint="eastAsia" w:ascii="仿宋" w:hAnsi="仿宋" w:eastAsia="仿宋" w:cs="宋体"/>
                <w:lang w:val="en-US" w:eastAsia="zh-CN" w:bidi="ar"/>
              </w:rPr>
              <w:t>3</w:t>
            </w:r>
            <w:r>
              <w:rPr>
                <w:rFonts w:hint="eastAsia" w:ascii="仿宋" w:hAnsi="仿宋" w:eastAsia="仿宋" w:cs="宋体"/>
                <w:lang w:bidi="ar"/>
              </w:rPr>
              <w:t>分，B﹤100%时得分为</w:t>
            </w:r>
            <w:r>
              <w:rPr>
                <w:rFonts w:hint="eastAsia" w:ascii="仿宋" w:hAnsi="仿宋" w:eastAsia="仿宋" w:cs="宋体"/>
                <w:lang w:val="en-US" w:eastAsia="zh-CN" w:bidi="ar"/>
              </w:rPr>
              <w:t>3</w:t>
            </w:r>
            <w:r>
              <w:rPr>
                <w:rFonts w:hint="eastAsia" w:ascii="仿宋" w:hAnsi="仿宋" w:eastAsia="仿宋" w:cs="宋体"/>
                <w:lang w:bidi="ar"/>
              </w:rPr>
              <w:t>×B。</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highlight w:val="yellow"/>
                <w:lang w:eastAsia="zh-CN"/>
              </w:rPr>
            </w:pPr>
            <w:r>
              <w:rPr>
                <w:rFonts w:hint="eastAsia" w:ascii="仿宋" w:hAnsi="仿宋" w:eastAsia="仿宋" w:cs="宋体"/>
                <w:highlight w:val="none"/>
                <w:lang w:val="en-US" w:eastAsia="zh-CN"/>
              </w:rPr>
              <w:t>3</w:t>
            </w:r>
          </w:p>
        </w:tc>
      </w:tr>
      <w:tr>
        <w:tblPrEx>
          <w:tblCellMar>
            <w:top w:w="0" w:type="dxa"/>
            <w:left w:w="108" w:type="dxa"/>
            <w:bottom w:w="0" w:type="dxa"/>
            <w:right w:w="108" w:type="dxa"/>
          </w:tblCellMar>
        </w:tblPrEx>
        <w:trPr>
          <w:trHeight w:val="111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宋体"/>
                <w:lang w:eastAsia="zh-CN"/>
              </w:rPr>
            </w:pPr>
            <w:r>
              <w:rPr>
                <w:rFonts w:hint="eastAsia" w:ascii="仿宋" w:hAnsi="仿宋" w:eastAsia="仿宋" w:cs="宋体"/>
              </w:rPr>
              <w:t>每日完成第一次普扫的时间达标率</w:t>
            </w:r>
            <w:r>
              <w:rPr>
                <w:rFonts w:hint="eastAsia" w:ascii="仿宋" w:hAnsi="仿宋" w:eastAsia="仿宋" w:cs="宋体"/>
                <w:lang w:eastAsia="zh-CN"/>
              </w:rPr>
              <w:t>（</w:t>
            </w:r>
            <w:r>
              <w:rPr>
                <w:rFonts w:hint="eastAsia" w:ascii="仿宋" w:hAnsi="仿宋" w:eastAsia="仿宋" w:cs="宋体"/>
                <w:lang w:val="en-US" w:eastAsia="zh-CN"/>
              </w:rPr>
              <w:t>3分</w:t>
            </w:r>
            <w:r>
              <w:rPr>
                <w:rFonts w:hint="eastAsia" w:ascii="仿宋" w:hAnsi="仿宋" w:eastAsia="仿宋" w:cs="宋体"/>
                <w:lang w:eastAsia="zh-CN"/>
              </w:rPr>
              <w:t>）</w:t>
            </w:r>
          </w:p>
        </w:tc>
        <w:tc>
          <w:tcPr>
            <w:tcW w:w="4819" w:type="dxa"/>
            <w:tcBorders>
              <w:top w:val="nil"/>
              <w:left w:val="nil"/>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eastAsia="zh-CN" w:bidi="ar"/>
              </w:rPr>
            </w:pPr>
            <w:r>
              <w:rPr>
                <w:rFonts w:hint="eastAsia" w:ascii="仿宋" w:hAnsi="仿宋" w:eastAsia="仿宋" w:cs="宋体"/>
                <w:lang w:val="en-US" w:eastAsia="zh-CN" w:bidi="ar"/>
              </w:rPr>
              <w:t>单位安排人员</w:t>
            </w:r>
            <w:r>
              <w:rPr>
                <w:rFonts w:hint="eastAsia" w:ascii="仿宋" w:hAnsi="仿宋" w:eastAsia="仿宋" w:cs="宋体"/>
              </w:rPr>
              <w:t>每日完成第一次普扫的时间</w:t>
            </w:r>
            <w:r>
              <w:rPr>
                <w:rFonts w:hint="eastAsia" w:ascii="仿宋" w:hAnsi="仿宋" w:eastAsia="仿宋" w:cs="宋体"/>
                <w:lang w:val="en-US" w:eastAsia="zh-CN"/>
              </w:rPr>
              <w:t>早于上午7:30分，则得满分，否则得0分。</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val="en-US"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699"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产出质量（6分）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宋体"/>
                <w:lang w:bidi="ar"/>
              </w:rPr>
            </w:pPr>
            <w:r>
              <w:rPr>
                <w:rFonts w:hint="eastAsia" w:ascii="仿宋" w:hAnsi="仿宋" w:eastAsia="仿宋" w:cs="宋体"/>
                <w:lang w:bidi="ar"/>
              </w:rPr>
              <w:t>环卫考评月平均分达标率</w:t>
            </w:r>
          </w:p>
          <w:p>
            <w:pPr>
              <w:jc w:val="center"/>
              <w:textAlignment w:val="center"/>
              <w:rPr>
                <w:rFonts w:hint="eastAsia" w:ascii="仿宋" w:hAnsi="仿宋" w:eastAsia="仿宋" w:cs="宋体"/>
                <w:color w:val="000000"/>
                <w:kern w:val="0"/>
                <w:szCs w:val="21"/>
                <w:lang w:bidi="ar"/>
              </w:rPr>
            </w:pPr>
            <w:r>
              <w:rPr>
                <w:rFonts w:hint="eastAsia" w:ascii="仿宋" w:hAnsi="仿宋" w:eastAsia="仿宋" w:cs="宋体"/>
                <w:lang w:bidi="ar"/>
              </w:rPr>
              <w:t>（</w:t>
            </w:r>
            <w:r>
              <w:rPr>
                <w:rFonts w:hint="eastAsia" w:ascii="仿宋" w:hAnsi="仿宋" w:eastAsia="仿宋" w:cs="宋体"/>
                <w:lang w:val="en-US" w:eastAsia="zh-CN" w:bidi="ar"/>
              </w:rPr>
              <w:t>3</w:t>
            </w:r>
            <w:r>
              <w:rPr>
                <w:rFonts w:hint="eastAsia" w:ascii="仿宋" w:hAnsi="仿宋" w:eastAsia="仿宋" w:cs="宋体"/>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仿宋" w:hAnsi="仿宋" w:eastAsia="仿宋" w:cs="宋体"/>
              </w:rPr>
            </w:pPr>
            <w:r>
              <w:rPr>
                <w:rFonts w:hint="eastAsia" w:ascii="仿宋" w:hAnsi="仿宋" w:eastAsia="仿宋" w:cs="宋体"/>
                <w:lang w:bidi="ar"/>
              </w:rPr>
              <w:t>环卫考评月平均分</w:t>
            </w:r>
            <w:r>
              <w:rPr>
                <w:rFonts w:hint="eastAsia" w:ascii="仿宋" w:hAnsi="仿宋" w:eastAsia="仿宋" w:cs="宋体"/>
              </w:rPr>
              <w:t>≥</w:t>
            </w:r>
            <w:r>
              <w:rPr>
                <w:rFonts w:hint="eastAsia" w:ascii="仿宋" w:hAnsi="仿宋" w:eastAsia="仿宋" w:cs="宋体"/>
                <w:lang w:val="en-US" w:eastAsia="zh-CN"/>
              </w:rPr>
              <w:t>85分，则</w:t>
            </w:r>
            <w:r>
              <w:rPr>
                <w:rFonts w:hint="eastAsia" w:ascii="仿宋" w:hAnsi="仿宋" w:eastAsia="仿宋" w:cs="宋体"/>
                <w:lang w:bidi="ar"/>
              </w:rPr>
              <w:t>得满分；</w:t>
            </w:r>
            <w:r>
              <w:rPr>
                <w:rFonts w:hint="eastAsia" w:ascii="仿宋" w:hAnsi="仿宋" w:eastAsia="仿宋" w:cs="宋体"/>
                <w:lang w:val="en-US" w:eastAsia="zh-CN"/>
              </w:rPr>
              <w:t>否则得0分。</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val="en-US"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699"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宋体"/>
                <w:lang w:eastAsia="zh-CN" w:bidi="ar"/>
              </w:rPr>
            </w:pPr>
            <w:r>
              <w:rPr>
                <w:rFonts w:hint="eastAsia" w:ascii="仿宋" w:hAnsi="仿宋" w:eastAsia="仿宋" w:cs="宋体"/>
                <w:lang w:bidi="ar"/>
              </w:rPr>
              <w:t>环卫保洁</w:t>
            </w:r>
            <w:r>
              <w:rPr>
                <w:rFonts w:hint="eastAsia" w:ascii="仿宋" w:hAnsi="仿宋" w:eastAsia="仿宋" w:cs="宋体"/>
                <w:lang w:val="en-US" w:eastAsia="zh-CN" w:bidi="ar"/>
              </w:rPr>
              <w:t>每月</w:t>
            </w:r>
            <w:r>
              <w:rPr>
                <w:rFonts w:hint="eastAsia" w:ascii="仿宋" w:hAnsi="仿宋" w:eastAsia="仿宋" w:cs="宋体"/>
                <w:lang w:bidi="ar"/>
              </w:rPr>
              <w:t>被投诉次数达标率</w:t>
            </w:r>
            <w:r>
              <w:rPr>
                <w:rFonts w:hint="eastAsia" w:ascii="仿宋" w:hAnsi="仿宋" w:eastAsia="仿宋" w:cs="宋体"/>
                <w:lang w:eastAsia="zh-CN" w:bidi="ar"/>
              </w:rPr>
              <w:t>（</w:t>
            </w:r>
            <w:r>
              <w:rPr>
                <w:rFonts w:hint="eastAsia" w:ascii="仿宋" w:hAnsi="仿宋" w:eastAsia="仿宋" w:cs="宋体"/>
                <w:lang w:val="en-US" w:eastAsia="zh-CN" w:bidi="ar"/>
              </w:rPr>
              <w:t>3分</w:t>
            </w:r>
            <w:r>
              <w:rPr>
                <w:rFonts w:hint="eastAsia" w:ascii="仿宋" w:hAnsi="仿宋" w:eastAsia="仿宋" w:cs="宋体"/>
                <w:lang w:eastAsia="zh-CN" w:bidi="ar"/>
              </w:rPr>
              <w:t>）</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bidi="ar"/>
              </w:rPr>
            </w:pPr>
            <w:r>
              <w:rPr>
                <w:rFonts w:hint="eastAsia" w:ascii="仿宋" w:hAnsi="仿宋" w:eastAsia="仿宋" w:cs="宋体"/>
                <w:lang w:bidi="ar"/>
              </w:rPr>
              <w:t>环卫保洁</w:t>
            </w:r>
            <w:r>
              <w:rPr>
                <w:rFonts w:hint="eastAsia" w:ascii="仿宋" w:hAnsi="仿宋" w:eastAsia="仿宋" w:cs="宋体"/>
                <w:lang w:val="en-US" w:eastAsia="zh-CN" w:bidi="ar"/>
              </w:rPr>
              <w:t>每月</w:t>
            </w:r>
            <w:r>
              <w:rPr>
                <w:rFonts w:hint="eastAsia" w:ascii="仿宋" w:hAnsi="仿宋" w:eastAsia="仿宋" w:cs="宋体"/>
                <w:lang w:bidi="ar"/>
              </w:rPr>
              <w:t>被投诉次数</w:t>
            </w:r>
            <w:r>
              <w:rPr>
                <w:rFonts w:hint="eastAsia" w:ascii="仿宋" w:hAnsi="仿宋" w:eastAsia="仿宋" w:cs="仿宋"/>
                <w:lang w:val="en-US" w:eastAsia="zh-CN" w:bidi="ar"/>
              </w:rPr>
              <w:t>≤3次，则得满分；每增加1次，则扣1分，扣完为止。</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val="en-US"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1270" w:hRule="atLeast"/>
        </w:trPr>
        <w:tc>
          <w:tcPr>
            <w:tcW w:w="704" w:type="dxa"/>
            <w:vMerge w:val="continue"/>
            <w:tcBorders>
              <w:top w:val="single" w:color="auto" w:sz="4" w:space="0"/>
              <w:left w:val="single" w:color="auto" w:sz="4" w:space="0"/>
              <w:bottom w:val="nil"/>
              <w:right w:val="single" w:color="auto" w:sz="4" w:space="0"/>
            </w:tcBorders>
            <w:vAlign w:val="center"/>
          </w:tcPr>
          <w:p>
            <w:pPr>
              <w:rPr>
                <w:rFonts w:hint="eastAsia"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产出时效（7分）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textAlignment w:val="center"/>
              <w:rPr>
                <w:rFonts w:hint="eastAsia" w:ascii="仿宋" w:hAnsi="仿宋" w:eastAsia="仿宋" w:cs="宋体"/>
                <w:lang w:bidi="ar"/>
              </w:rPr>
            </w:pPr>
            <w:r>
              <w:rPr>
                <w:rFonts w:hint="eastAsia" w:ascii="仿宋" w:hAnsi="仿宋" w:eastAsia="仿宋" w:cs="宋体"/>
                <w:lang w:bidi="ar"/>
              </w:rPr>
              <w:t>项目完工率</w:t>
            </w:r>
          </w:p>
          <w:p>
            <w:pPr>
              <w:jc w:val="center"/>
              <w:textAlignment w:val="center"/>
              <w:rPr>
                <w:rFonts w:hint="eastAsia" w:ascii="仿宋" w:hAnsi="仿宋" w:eastAsia="仿宋" w:cs="宋体"/>
                <w:lang w:bidi="ar"/>
              </w:rPr>
            </w:pPr>
            <w:r>
              <w:rPr>
                <w:rFonts w:hint="eastAsia" w:ascii="仿宋" w:hAnsi="仿宋" w:eastAsia="仿宋" w:cs="宋体"/>
                <w:lang w:bidi="ar"/>
              </w:rPr>
              <w:t>（7分）</w:t>
            </w:r>
          </w:p>
        </w:tc>
        <w:tc>
          <w:tcPr>
            <w:tcW w:w="4819" w:type="dxa"/>
            <w:tcBorders>
              <w:top w:val="single" w:color="auto" w:sz="4" w:space="0"/>
              <w:left w:val="nil"/>
              <w:bottom w:val="single" w:color="auto" w:sz="4" w:space="0"/>
              <w:right w:val="single" w:color="auto" w:sz="4" w:space="0"/>
            </w:tcBorders>
            <w:shd w:val="clear" w:color="auto" w:fill="auto"/>
            <w:vAlign w:val="center"/>
          </w:tcPr>
          <w:p>
            <w:pPr>
              <w:textAlignment w:val="center"/>
              <w:rPr>
                <w:rFonts w:hint="eastAsia" w:ascii="仿宋" w:hAnsi="仿宋" w:eastAsia="仿宋" w:cs="宋体"/>
                <w:lang w:bidi="ar"/>
              </w:rPr>
            </w:pPr>
            <w:r>
              <w:rPr>
                <w:rFonts w:hint="eastAsia" w:ascii="仿宋" w:hAnsi="仿宋" w:eastAsia="仿宋" w:cs="宋体"/>
                <w:lang w:bidi="ar"/>
              </w:rPr>
              <w:t>项目完工率=实际按计划及时完成项目数/项目总数量；</w:t>
            </w:r>
          </w:p>
          <w:p>
            <w:pPr>
              <w:textAlignment w:val="center"/>
              <w:rPr>
                <w:rFonts w:hint="eastAsia" w:ascii="仿宋" w:hAnsi="仿宋" w:eastAsia="仿宋" w:cs="宋体"/>
                <w:lang w:bidi="ar"/>
              </w:rPr>
            </w:pPr>
            <w:r>
              <w:rPr>
                <w:rFonts w:hint="eastAsia" w:ascii="仿宋" w:hAnsi="仿宋" w:eastAsia="仿宋" w:cs="宋体"/>
                <w:lang w:bidi="ar"/>
              </w:rPr>
              <w:t>评价项目绩效目标完成情况，得分为项目完工率×7分。</w:t>
            </w:r>
          </w:p>
        </w:tc>
        <w:tc>
          <w:tcPr>
            <w:tcW w:w="99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color w:val="FF0000"/>
                <w:lang w:eastAsia="zh-CN"/>
              </w:rPr>
            </w:pPr>
            <w:r>
              <w:rPr>
                <w:rFonts w:hint="eastAsia" w:ascii="仿宋" w:hAnsi="仿宋" w:eastAsia="仿宋" w:cs="宋体"/>
                <w:lang w:val="en-US" w:eastAsia="zh-CN"/>
              </w:rPr>
              <w:t>7</w:t>
            </w:r>
          </w:p>
        </w:tc>
      </w:tr>
      <w:tr>
        <w:tblPrEx>
          <w:tblCellMar>
            <w:top w:w="0" w:type="dxa"/>
            <w:left w:w="108" w:type="dxa"/>
            <w:bottom w:w="0" w:type="dxa"/>
            <w:right w:w="108" w:type="dxa"/>
          </w:tblCellMar>
        </w:tblPrEx>
        <w:trPr>
          <w:trHeight w:val="1270" w:hRule="atLeast"/>
        </w:trPr>
        <w:tc>
          <w:tcPr>
            <w:tcW w:w="704" w:type="dxa"/>
            <w:vMerge w:val="continue"/>
            <w:tcBorders>
              <w:top w:val="nil"/>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产出成本（7分）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lang w:bidi="ar"/>
              </w:rPr>
            </w:pPr>
            <w:r>
              <w:rPr>
                <w:rFonts w:hint="eastAsia" w:ascii="仿宋" w:hAnsi="仿宋" w:eastAsia="仿宋" w:cs="宋体"/>
                <w:lang w:bidi="ar"/>
              </w:rPr>
              <w:t>成本节约率</w:t>
            </w:r>
          </w:p>
          <w:p>
            <w:pPr>
              <w:jc w:val="center"/>
              <w:rPr>
                <w:rFonts w:hint="eastAsia" w:ascii="仿宋" w:hAnsi="仿宋" w:eastAsia="仿宋" w:cs="宋体"/>
                <w:lang w:bidi="ar"/>
              </w:rPr>
            </w:pPr>
            <w:r>
              <w:rPr>
                <w:rFonts w:hint="eastAsia" w:ascii="仿宋" w:hAnsi="仿宋" w:eastAsia="仿宋" w:cs="宋体"/>
                <w:snapToGrid/>
                <w:lang w:bidi="ar"/>
              </w:rPr>
              <w:t>（7分）</w:t>
            </w:r>
          </w:p>
        </w:tc>
        <w:tc>
          <w:tcPr>
            <w:tcW w:w="4819" w:type="dxa"/>
            <w:tcBorders>
              <w:top w:val="single" w:color="auto" w:sz="4" w:space="0"/>
              <w:left w:val="nil"/>
              <w:bottom w:val="single" w:color="auto" w:sz="4" w:space="0"/>
              <w:right w:val="single" w:color="auto" w:sz="4" w:space="0"/>
            </w:tcBorders>
            <w:shd w:val="clear" w:color="auto" w:fill="auto"/>
          </w:tcPr>
          <w:p>
            <w:pPr>
              <w:textAlignment w:val="center"/>
              <w:rPr>
                <w:rFonts w:hint="eastAsia" w:ascii="仿宋" w:hAnsi="仿宋" w:eastAsia="仿宋" w:cs="宋体"/>
                <w:lang w:bidi="ar"/>
              </w:rPr>
            </w:pPr>
            <w:r>
              <w:rPr>
                <w:rFonts w:hint="eastAsia" w:ascii="仿宋" w:hAnsi="仿宋" w:eastAsia="仿宋" w:cs="宋体"/>
                <w:lang w:bidi="ar"/>
              </w:rPr>
              <w:t xml:space="preserve">成本节约率=（计划成本-实际成本）/计划成本×100% </w:t>
            </w:r>
          </w:p>
          <w:p>
            <w:pPr>
              <w:textAlignment w:val="center"/>
              <w:rPr>
                <w:rFonts w:hint="eastAsia" w:ascii="仿宋" w:hAnsi="仿宋" w:eastAsia="仿宋" w:cs="宋体"/>
                <w:lang w:bidi="ar"/>
              </w:rPr>
            </w:pPr>
            <w:r>
              <w:rPr>
                <w:rFonts w:hint="eastAsia" w:ascii="仿宋" w:hAnsi="仿宋" w:eastAsia="仿宋" w:cs="宋体"/>
                <w:lang w:bidi="ar"/>
              </w:rPr>
              <w:t>实际成本：项目实施单位如期、保质、保量完成既定工作目标实际所耗的支出；</w:t>
            </w:r>
          </w:p>
          <w:p>
            <w:pPr>
              <w:textAlignment w:val="center"/>
              <w:rPr>
                <w:rFonts w:hint="eastAsia" w:ascii="仿宋" w:hAnsi="仿宋" w:eastAsia="仿宋" w:cs="宋体"/>
                <w:lang w:bidi="ar"/>
              </w:rPr>
            </w:pPr>
            <w:r>
              <w:rPr>
                <w:rFonts w:hint="eastAsia" w:ascii="仿宋" w:hAnsi="仿宋" w:eastAsia="仿宋" w:cs="宋体"/>
                <w:lang w:bidi="ar"/>
              </w:rPr>
              <w:t>计划成本：项目实施单位为完成工作目标计划安排的支出，一般以项目预算为参考。</w:t>
            </w:r>
          </w:p>
          <w:p>
            <w:pPr>
              <w:textAlignment w:val="center"/>
              <w:rPr>
                <w:rFonts w:hint="eastAsia" w:ascii="仿宋" w:hAnsi="仿宋" w:eastAsia="仿宋" w:cs="宋体"/>
                <w:lang w:bidi="ar"/>
              </w:rPr>
            </w:pPr>
            <w:r>
              <w:rPr>
                <w:rFonts w:hint="eastAsia" w:ascii="仿宋" w:hAnsi="仿宋" w:eastAsia="仿宋" w:cs="宋体"/>
                <w:lang w:bidi="ar"/>
              </w:rPr>
              <w:t>成本节约率≥0%，得7分；成本节约率＜ 0%，得 0 分。</w:t>
            </w:r>
          </w:p>
        </w:tc>
        <w:tc>
          <w:tcPr>
            <w:tcW w:w="993" w:type="dxa"/>
            <w:tcBorders>
              <w:top w:val="single" w:color="auto" w:sz="4" w:space="0"/>
              <w:left w:val="nil"/>
              <w:bottom w:val="single" w:color="auto" w:sz="4" w:space="0"/>
              <w:right w:val="single" w:color="auto" w:sz="4" w:space="0"/>
            </w:tcBorders>
            <w:vAlign w:val="center"/>
          </w:tcPr>
          <w:p>
            <w:pPr>
              <w:jc w:val="center"/>
              <w:rPr>
                <w:rFonts w:hint="eastAsia" w:ascii="仿宋" w:hAnsi="仿宋" w:eastAsia="仿宋" w:cs="宋体"/>
                <w:lang w:bidi="ar"/>
              </w:rPr>
            </w:pPr>
            <w:r>
              <w:rPr>
                <w:rFonts w:hint="eastAsia" w:ascii="仿宋" w:hAnsi="仿宋" w:eastAsia="仿宋" w:cs="宋体"/>
                <w:lang w:bidi="ar"/>
              </w:rPr>
              <w:t>7</w:t>
            </w:r>
          </w:p>
        </w:tc>
      </w:tr>
      <w:tr>
        <w:tblPrEx>
          <w:tblCellMar>
            <w:top w:w="0" w:type="dxa"/>
            <w:left w:w="108" w:type="dxa"/>
            <w:bottom w:w="0" w:type="dxa"/>
            <w:right w:w="108" w:type="dxa"/>
          </w:tblCellMar>
        </w:tblPrEx>
        <w:trPr>
          <w:trHeight w:val="1170" w:hRule="atLeast"/>
        </w:trPr>
        <w:tc>
          <w:tcPr>
            <w:tcW w:w="7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效益（30分）</w:t>
            </w: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经济效益（4分）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lang w:val="en-US" w:eastAsia="zh-CN" w:bidi="ar"/>
              </w:rPr>
            </w:pPr>
            <w:r>
              <w:rPr>
                <w:rFonts w:hint="eastAsia" w:ascii="仿宋" w:hAnsi="仿宋" w:eastAsia="仿宋" w:cs="宋体"/>
                <w:lang w:val="en-US" w:eastAsia="zh-CN" w:bidi="ar"/>
              </w:rPr>
              <w:t>项目经费是否超过预算</w:t>
            </w:r>
          </w:p>
          <w:p>
            <w:pPr>
              <w:jc w:val="center"/>
              <w:rPr>
                <w:rFonts w:hint="eastAsia" w:ascii="仿宋" w:hAnsi="仿宋" w:eastAsia="仿宋" w:cs="宋体"/>
                <w:lang w:bidi="ar"/>
              </w:rPr>
            </w:pPr>
            <w:r>
              <w:rPr>
                <w:rFonts w:hint="eastAsia" w:ascii="仿宋" w:hAnsi="仿宋" w:eastAsia="仿宋" w:cs="宋体"/>
                <w:lang w:bidi="ar"/>
              </w:rPr>
              <w:t>（</w:t>
            </w:r>
            <w:r>
              <w:rPr>
                <w:rFonts w:hint="eastAsia" w:ascii="仿宋" w:hAnsi="仿宋" w:eastAsia="仿宋" w:cs="宋体"/>
                <w:lang w:val="en-US" w:eastAsia="zh-CN" w:bidi="ar"/>
              </w:rPr>
              <w:t>4</w:t>
            </w:r>
            <w:r>
              <w:rPr>
                <w:rFonts w:hint="eastAsia" w:ascii="仿宋" w:hAnsi="仿宋" w:eastAsia="仿宋" w:cs="宋体"/>
                <w:lang w:bidi="ar"/>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仿宋" w:hAnsi="仿宋" w:eastAsia="仿宋" w:cs="宋体"/>
                <w:lang w:bidi="ar"/>
              </w:rPr>
            </w:pPr>
            <w:r>
              <w:rPr>
                <w:rFonts w:hint="eastAsia" w:ascii="仿宋" w:hAnsi="仿宋" w:eastAsia="仿宋" w:cs="宋体"/>
                <w:lang w:val="en-US" w:eastAsia="zh-CN" w:bidi="ar"/>
              </w:rPr>
              <w:t>道路清扫经费项目总支出是否超过该项目预算金额</w:t>
            </w:r>
            <w:r>
              <w:rPr>
                <w:rFonts w:hint="eastAsia" w:ascii="仿宋" w:hAnsi="仿宋" w:eastAsia="仿宋" w:cs="宋体"/>
                <w:lang w:bidi="ar"/>
              </w:rPr>
              <w:t>，</w:t>
            </w:r>
            <w:r>
              <w:rPr>
                <w:rFonts w:hint="eastAsia" w:ascii="仿宋" w:hAnsi="仿宋" w:eastAsia="仿宋" w:cs="宋体"/>
                <w:lang w:val="en-US" w:eastAsia="zh-CN" w:bidi="ar"/>
              </w:rPr>
              <w:t>节约</w:t>
            </w:r>
            <w:r>
              <w:rPr>
                <w:rFonts w:hint="eastAsia" w:ascii="仿宋" w:hAnsi="仿宋" w:eastAsia="仿宋" w:cs="宋体"/>
                <w:lang w:bidi="ar"/>
              </w:rPr>
              <w:t>则得满分，</w:t>
            </w:r>
            <w:r>
              <w:rPr>
                <w:rFonts w:hint="eastAsia" w:ascii="仿宋" w:hAnsi="仿宋" w:eastAsia="仿宋" w:cs="宋体"/>
                <w:lang w:val="en-US" w:eastAsia="zh-CN" w:bidi="ar"/>
              </w:rPr>
              <w:t>超支</w:t>
            </w:r>
            <w:r>
              <w:rPr>
                <w:rFonts w:hint="eastAsia" w:ascii="仿宋" w:hAnsi="仿宋" w:eastAsia="仿宋" w:cs="宋体"/>
                <w:lang w:bidi="ar"/>
              </w:rPr>
              <w:t>则得0分。</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4</w:t>
            </w:r>
          </w:p>
        </w:tc>
      </w:tr>
      <w:tr>
        <w:tblPrEx>
          <w:tblCellMar>
            <w:top w:w="0" w:type="dxa"/>
            <w:left w:w="108" w:type="dxa"/>
            <w:bottom w:w="0" w:type="dxa"/>
            <w:right w:w="108" w:type="dxa"/>
          </w:tblCellMar>
        </w:tblPrEx>
        <w:trPr>
          <w:trHeight w:val="8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社会效益（12分）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lang w:val="en-US" w:eastAsia="zh-CN" w:bidi="ar"/>
              </w:rPr>
            </w:pPr>
            <w:r>
              <w:rPr>
                <w:rFonts w:hint="eastAsia" w:ascii="仿宋" w:hAnsi="仿宋" w:eastAsia="仿宋" w:cs="宋体"/>
                <w:lang w:val="en-US" w:eastAsia="zh-CN" w:bidi="ar"/>
              </w:rPr>
              <w:t>街镇覆盖率</w:t>
            </w:r>
          </w:p>
          <w:p>
            <w:pPr>
              <w:jc w:val="center"/>
              <w:rPr>
                <w:rFonts w:hint="eastAsia" w:ascii="仿宋" w:hAnsi="仿宋" w:eastAsia="仿宋" w:cs="宋体"/>
                <w:lang w:bidi="ar"/>
              </w:rPr>
            </w:pPr>
            <w:r>
              <w:rPr>
                <w:rFonts w:hint="eastAsia" w:ascii="仿宋" w:hAnsi="仿宋" w:eastAsia="仿宋" w:cs="宋体"/>
                <w:lang w:bidi="ar"/>
              </w:rPr>
              <w:t>（</w:t>
            </w:r>
            <w:r>
              <w:rPr>
                <w:rFonts w:hint="eastAsia" w:ascii="仿宋" w:hAnsi="仿宋" w:eastAsia="仿宋" w:cs="宋体"/>
                <w:lang w:val="en-US" w:eastAsia="zh-CN" w:bidi="ar"/>
              </w:rPr>
              <w:t>3</w:t>
            </w:r>
            <w:r>
              <w:rPr>
                <w:rFonts w:hint="eastAsia" w:ascii="仿宋" w:hAnsi="仿宋" w:eastAsia="仿宋" w:cs="宋体"/>
                <w:lang w:bidi="ar"/>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仿宋" w:hAnsi="仿宋" w:eastAsia="仿宋" w:cs="宋体"/>
              </w:rPr>
            </w:pPr>
            <w:r>
              <w:rPr>
                <w:rFonts w:hint="eastAsia" w:ascii="仿宋" w:hAnsi="仿宋" w:eastAsia="仿宋" w:cs="宋体"/>
              </w:rPr>
              <w:t>道路清扫范围覆盖街镇≥</w:t>
            </w:r>
            <w:r>
              <w:rPr>
                <w:rFonts w:hint="eastAsia" w:ascii="仿宋" w:hAnsi="仿宋" w:eastAsia="仿宋" w:cs="宋体"/>
                <w:lang w:val="en-US" w:eastAsia="zh-CN"/>
              </w:rPr>
              <w:t>13</w:t>
            </w:r>
            <w:r>
              <w:rPr>
                <w:rFonts w:hint="eastAsia" w:ascii="仿宋" w:hAnsi="仿宋" w:eastAsia="仿宋" w:cs="宋体"/>
              </w:rPr>
              <w:t>个，则得满分，</w:t>
            </w:r>
            <w:r>
              <w:rPr>
                <w:rFonts w:hint="eastAsia" w:ascii="仿宋" w:hAnsi="仿宋" w:eastAsia="仿宋" w:cs="宋体"/>
                <w:lang w:bidi="ar"/>
              </w:rPr>
              <w:t>﹤</w:t>
            </w:r>
            <w:r>
              <w:rPr>
                <w:rFonts w:hint="eastAsia" w:ascii="仿宋" w:hAnsi="仿宋" w:eastAsia="仿宋" w:cs="宋体"/>
                <w:lang w:val="en-US" w:eastAsia="zh-CN" w:bidi="ar"/>
              </w:rPr>
              <w:t>13</w:t>
            </w:r>
            <w:r>
              <w:rPr>
                <w:rFonts w:hint="eastAsia" w:ascii="仿宋" w:hAnsi="仿宋" w:eastAsia="仿宋" w:cs="宋体"/>
                <w:lang w:bidi="ar"/>
              </w:rPr>
              <w:t>个时</w:t>
            </w:r>
            <w:r>
              <w:rPr>
                <w:rFonts w:hint="eastAsia" w:ascii="仿宋" w:hAnsi="仿宋" w:eastAsia="仿宋" w:cs="宋体"/>
              </w:rPr>
              <w:t>得分为实际个数/</w:t>
            </w:r>
            <w:r>
              <w:rPr>
                <w:rFonts w:hint="eastAsia" w:ascii="仿宋" w:hAnsi="仿宋" w:eastAsia="仿宋" w:cs="宋体"/>
                <w:lang w:val="en-US" w:eastAsia="zh-CN"/>
              </w:rPr>
              <w:t>13</w:t>
            </w:r>
            <w:r>
              <w:rPr>
                <w:rFonts w:hint="eastAsia" w:ascii="仿宋" w:hAnsi="仿宋" w:eastAsia="仿宋" w:cs="宋体"/>
                <w:lang w:bidi="ar"/>
              </w:rPr>
              <w:t>×1</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8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lang w:val="en-US" w:eastAsia="zh-CN"/>
              </w:rPr>
              <w:t>提供的就业岗位</w:t>
            </w:r>
            <w:r>
              <w:rPr>
                <w:rFonts w:hint="eastAsia" w:ascii="仿宋" w:hAnsi="仿宋" w:eastAsia="仿宋" w:cs="宋体"/>
              </w:rPr>
              <w:t>（</w:t>
            </w:r>
            <w:r>
              <w:rPr>
                <w:rFonts w:hint="eastAsia" w:ascii="仿宋" w:hAnsi="仿宋" w:eastAsia="仿宋" w:cs="宋体"/>
                <w:lang w:val="en-US" w:eastAsia="zh-CN"/>
              </w:rPr>
              <w:t>3</w:t>
            </w:r>
            <w:r>
              <w:rPr>
                <w:rFonts w:hint="eastAsia" w:ascii="仿宋" w:hAnsi="仿宋" w:eastAsia="仿宋" w:cs="宋体"/>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eastAsia" w:ascii="仿宋" w:hAnsi="仿宋" w:eastAsia="仿宋" w:cs="宋体"/>
              </w:rPr>
            </w:pPr>
            <w:r>
              <w:rPr>
                <w:rFonts w:hint="eastAsia" w:ascii="仿宋" w:hAnsi="仿宋" w:eastAsia="仿宋" w:cs="宋体"/>
              </w:rPr>
              <w:t>在岗就业环卫工人为保洁路段附近居民或村民</w:t>
            </w:r>
            <w:r>
              <w:rPr>
                <w:rFonts w:hint="eastAsia" w:ascii="仿宋" w:hAnsi="仿宋" w:eastAsia="仿宋" w:cs="宋体"/>
                <w:lang w:val="en-US" w:eastAsia="zh-CN"/>
              </w:rPr>
              <w:t>在此项目总环卫工人</w:t>
            </w:r>
            <w:r>
              <w:rPr>
                <w:rFonts w:hint="eastAsia" w:ascii="仿宋" w:hAnsi="仿宋" w:eastAsia="仿宋" w:cs="宋体"/>
              </w:rPr>
              <w:t>占比≥8</w:t>
            </w:r>
            <w:r>
              <w:rPr>
                <w:rFonts w:hint="eastAsia" w:ascii="仿宋" w:hAnsi="仿宋" w:eastAsia="仿宋" w:cs="宋体"/>
                <w:lang w:val="en-US" w:eastAsia="zh-CN"/>
              </w:rPr>
              <w:t>0</w:t>
            </w:r>
            <w:r>
              <w:rPr>
                <w:rFonts w:ascii="仿宋" w:hAnsi="仿宋" w:eastAsia="仿宋" w:cs="宋体"/>
              </w:rPr>
              <w:t>%</w:t>
            </w:r>
            <w:r>
              <w:rPr>
                <w:rFonts w:hint="eastAsia" w:ascii="仿宋" w:hAnsi="仿宋" w:eastAsia="仿宋" w:cs="宋体"/>
              </w:rPr>
              <w:t>，则得满分；每低10%的，扣0.</w:t>
            </w:r>
            <w:r>
              <w:rPr>
                <w:rFonts w:hint="eastAsia" w:ascii="仿宋" w:hAnsi="仿宋" w:eastAsia="仿宋" w:cs="宋体"/>
                <w:lang w:val="en-US" w:eastAsia="zh-CN"/>
              </w:rPr>
              <w:t>5</w:t>
            </w:r>
            <w:r>
              <w:rPr>
                <w:rFonts w:hint="eastAsia" w:ascii="仿宋" w:hAnsi="仿宋" w:eastAsia="仿宋" w:cs="宋体"/>
              </w:rPr>
              <w:t>分，直至扣完本项分值。</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8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lang w:val="en-US" w:eastAsia="zh-CN"/>
              </w:rPr>
              <w:t>进行</w:t>
            </w:r>
            <w:r>
              <w:rPr>
                <w:rFonts w:hint="eastAsia" w:ascii="仿宋" w:hAnsi="仿宋" w:eastAsia="仿宋" w:cs="宋体"/>
              </w:rPr>
              <w:t>爱护环境卫生宣传活动（</w:t>
            </w:r>
            <w:r>
              <w:rPr>
                <w:rFonts w:hint="eastAsia" w:ascii="仿宋" w:hAnsi="仿宋" w:eastAsia="仿宋" w:cs="宋体"/>
                <w:lang w:val="en-US" w:eastAsia="zh-CN"/>
              </w:rPr>
              <w:t>3</w:t>
            </w:r>
            <w:r>
              <w:rPr>
                <w:rFonts w:hint="eastAsia" w:ascii="仿宋" w:hAnsi="仿宋" w:eastAsia="仿宋" w:cs="宋体"/>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rPr>
            </w:pPr>
            <w:r>
              <w:rPr>
                <w:rFonts w:hint="eastAsia" w:ascii="仿宋" w:hAnsi="仿宋" w:eastAsia="仿宋" w:cs="宋体"/>
              </w:rPr>
              <w:t>在项目进行期间，进行爱护环境卫生宣传活动≥</w:t>
            </w:r>
            <w:r>
              <w:rPr>
                <w:rFonts w:hint="eastAsia" w:ascii="仿宋" w:hAnsi="仿宋" w:eastAsia="仿宋" w:cs="宋体"/>
                <w:lang w:val="en-US" w:eastAsia="zh-CN"/>
              </w:rPr>
              <w:t>3次</w:t>
            </w:r>
            <w:r>
              <w:rPr>
                <w:rFonts w:hint="eastAsia" w:ascii="仿宋" w:hAnsi="仿宋" w:eastAsia="仿宋" w:cs="宋体"/>
              </w:rPr>
              <w:t>，则得满分</w:t>
            </w:r>
            <w:r>
              <w:rPr>
                <w:rFonts w:hint="eastAsia" w:ascii="仿宋" w:hAnsi="仿宋" w:eastAsia="仿宋" w:cs="宋体"/>
                <w:lang w:eastAsia="zh-CN"/>
              </w:rPr>
              <w:t>；</w:t>
            </w:r>
            <w:r>
              <w:rPr>
                <w:rFonts w:hint="eastAsia" w:ascii="仿宋" w:hAnsi="仿宋" w:eastAsia="仿宋" w:cs="宋体"/>
                <w:lang w:val="en-US" w:eastAsia="zh-CN"/>
              </w:rPr>
              <w:t>每减少1次，扣1分；未进行宣传活动，则得0分。</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8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环卫工人的劳保、工资、社保等待遇</w:t>
            </w:r>
          </w:p>
          <w:p>
            <w:pPr>
              <w:jc w:val="center"/>
              <w:rPr>
                <w:rFonts w:hint="eastAsia" w:ascii="仿宋" w:hAnsi="仿宋" w:eastAsia="仿宋" w:cs="宋体"/>
              </w:rPr>
            </w:pPr>
            <w:r>
              <w:rPr>
                <w:rFonts w:hint="eastAsia" w:ascii="仿宋" w:hAnsi="仿宋" w:eastAsia="仿宋" w:cs="宋体"/>
              </w:rPr>
              <w:t>（</w:t>
            </w:r>
            <w:r>
              <w:rPr>
                <w:rFonts w:hint="eastAsia" w:ascii="仿宋" w:hAnsi="仿宋" w:eastAsia="仿宋" w:cs="宋体"/>
                <w:lang w:val="en-US" w:eastAsia="zh-CN"/>
              </w:rPr>
              <w:t>3</w:t>
            </w:r>
            <w:r>
              <w:rPr>
                <w:rFonts w:hint="eastAsia" w:ascii="仿宋" w:hAnsi="仿宋" w:eastAsia="仿宋" w:cs="宋体"/>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rPr>
            </w:pPr>
            <w:r>
              <w:rPr>
                <w:rFonts w:hint="eastAsia" w:ascii="仿宋" w:hAnsi="仿宋" w:eastAsia="仿宋" w:cs="宋体"/>
                <w:lang w:val="en-US" w:eastAsia="zh-CN"/>
              </w:rPr>
              <w:t>根据提供材料，</w:t>
            </w:r>
            <w:r>
              <w:rPr>
                <w:rFonts w:hint="eastAsia" w:ascii="仿宋" w:hAnsi="仿宋" w:eastAsia="仿宋" w:cs="宋体"/>
              </w:rPr>
              <w:t>环卫工人的劳保、工资、社保等待遇</w:t>
            </w:r>
            <w:r>
              <w:rPr>
                <w:rFonts w:hint="eastAsia" w:ascii="仿宋" w:hAnsi="仿宋" w:eastAsia="仿宋" w:cs="宋体"/>
                <w:lang w:val="en-US" w:eastAsia="zh-CN"/>
              </w:rPr>
              <w:t>按时发放，发放标准以中标合同为准，在项目进行期间未进行过提升。此项得2分。</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2</w:t>
            </w:r>
          </w:p>
        </w:tc>
      </w:tr>
      <w:tr>
        <w:tblPrEx>
          <w:tblCellMar>
            <w:top w:w="0" w:type="dxa"/>
            <w:left w:w="108" w:type="dxa"/>
            <w:bottom w:w="0" w:type="dxa"/>
            <w:right w:w="108" w:type="dxa"/>
          </w:tblCellMar>
        </w:tblPrEx>
        <w:trPr>
          <w:trHeight w:val="88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生态效益（4分）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lang w:val="en-US" w:eastAsia="zh-CN"/>
              </w:rPr>
            </w:pPr>
            <w:r>
              <w:rPr>
                <w:rFonts w:hint="eastAsia" w:ascii="仿宋" w:hAnsi="仿宋" w:eastAsia="仿宋" w:cs="宋体"/>
                <w:lang w:val="en-US" w:eastAsia="zh-CN"/>
              </w:rPr>
              <w:t>仓山区环境</w:t>
            </w:r>
          </w:p>
          <w:p>
            <w:pPr>
              <w:jc w:val="center"/>
              <w:rPr>
                <w:rFonts w:hint="eastAsia" w:ascii="仿宋" w:hAnsi="仿宋" w:eastAsia="仿宋" w:cs="宋体"/>
              </w:rPr>
            </w:pPr>
            <w:r>
              <w:rPr>
                <w:rFonts w:hint="eastAsia" w:ascii="仿宋" w:hAnsi="仿宋" w:eastAsia="仿宋" w:cs="宋体"/>
              </w:rPr>
              <w:t>（</w:t>
            </w:r>
            <w:r>
              <w:rPr>
                <w:rFonts w:hint="eastAsia" w:ascii="仿宋" w:hAnsi="仿宋" w:eastAsia="仿宋" w:cs="宋体"/>
                <w:lang w:val="en-US" w:eastAsia="zh-CN"/>
              </w:rPr>
              <w:t>4</w:t>
            </w:r>
            <w:r>
              <w:rPr>
                <w:rFonts w:hint="eastAsia" w:ascii="仿宋" w:hAnsi="仿宋" w:eastAsia="仿宋" w:cs="宋体"/>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eastAsia="zh-CN"/>
              </w:rPr>
            </w:pPr>
            <w:r>
              <w:rPr>
                <w:rFonts w:hint="eastAsia" w:ascii="仿宋" w:hAnsi="仿宋" w:eastAsia="仿宋" w:cs="宋体"/>
              </w:rPr>
              <w:t>地面无垃圾、油污，垃圾果皮桶布置合理并及时清理，街道保持整洁，公共厕所保持整洁，城市垃圾及时清运。</w:t>
            </w:r>
            <w:r>
              <w:rPr>
                <w:rFonts w:hint="eastAsia" w:ascii="仿宋" w:hAnsi="仿宋" w:eastAsia="仿宋" w:cs="宋体"/>
                <w:lang w:val="en-US" w:eastAsia="zh-CN"/>
              </w:rPr>
              <w:t>发现一处扣0.5分，扣完为止。</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79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restart"/>
            <w:tcBorders>
              <w:top w:val="single" w:color="auto" w:sz="4" w:space="0"/>
              <w:left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可持续影响（5分）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环境卫生得到持续维护</w:t>
            </w:r>
          </w:p>
          <w:p>
            <w:pPr>
              <w:jc w:val="center"/>
              <w:rPr>
                <w:rFonts w:hint="eastAsia" w:ascii="仿宋" w:hAnsi="仿宋" w:eastAsia="仿宋" w:cs="宋体"/>
              </w:rPr>
            </w:pPr>
            <w:r>
              <w:rPr>
                <w:rFonts w:hint="eastAsia" w:ascii="仿宋" w:hAnsi="仿宋" w:eastAsia="仿宋" w:cs="宋体"/>
              </w:rPr>
              <w:t>（</w:t>
            </w:r>
            <w:r>
              <w:rPr>
                <w:rFonts w:hint="eastAsia" w:ascii="仿宋" w:hAnsi="仿宋" w:eastAsia="仿宋" w:cs="宋体"/>
                <w:lang w:val="en-US" w:eastAsia="zh-CN"/>
              </w:rPr>
              <w:t>2</w:t>
            </w:r>
            <w:r>
              <w:rPr>
                <w:rFonts w:hint="eastAsia" w:ascii="仿宋" w:hAnsi="仿宋" w:eastAsia="仿宋" w:cs="宋体"/>
              </w:rPr>
              <w:t>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eastAsia="zh-CN"/>
              </w:rPr>
            </w:pPr>
            <w:r>
              <w:rPr>
                <w:rFonts w:hint="eastAsia" w:ascii="仿宋" w:hAnsi="仿宋" w:eastAsia="仿宋" w:cs="宋体"/>
                <w:lang w:val="en-US" w:eastAsia="zh-CN"/>
              </w:rPr>
              <w:t>在项目进行期间，仓山区环境卫生得到了持续维护，承担了仓山区18次重要活动的卫生保障工作。此项得2分。</w:t>
            </w:r>
          </w:p>
        </w:tc>
        <w:tc>
          <w:tcPr>
            <w:tcW w:w="993" w:type="dxa"/>
            <w:tcBorders>
              <w:top w:val="nil"/>
              <w:left w:val="nil"/>
              <w:bottom w:val="single" w:color="auto" w:sz="4" w:space="0"/>
              <w:right w:val="single" w:color="auto" w:sz="4" w:space="0"/>
            </w:tcBorders>
            <w:vAlign w:val="center"/>
          </w:tcPr>
          <w:p>
            <w:pPr>
              <w:jc w:val="center"/>
              <w:rPr>
                <w:rFonts w:hint="eastAsia" w:ascii="仿宋" w:hAnsi="仿宋" w:eastAsia="仿宋" w:cs="宋体"/>
                <w:lang w:eastAsia="zh-CN"/>
              </w:rPr>
            </w:pPr>
            <w:r>
              <w:rPr>
                <w:rFonts w:hint="eastAsia" w:ascii="仿宋" w:hAnsi="仿宋" w:eastAsia="仿宋" w:cs="宋体"/>
                <w:lang w:val="en-US" w:eastAsia="zh-CN"/>
              </w:rPr>
              <w:t>2</w:t>
            </w:r>
          </w:p>
        </w:tc>
      </w:tr>
      <w:tr>
        <w:tblPrEx>
          <w:tblCellMar>
            <w:top w:w="0" w:type="dxa"/>
            <w:left w:w="108" w:type="dxa"/>
            <w:bottom w:w="0" w:type="dxa"/>
            <w:right w:w="108" w:type="dxa"/>
          </w:tblCellMar>
        </w:tblPrEx>
        <w:trPr>
          <w:trHeight w:val="790"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vMerge w:val="continue"/>
            <w:tcBorders>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default" w:ascii="仿宋" w:hAnsi="仿宋" w:eastAsia="仿宋" w:cs="宋体"/>
                <w:lang w:val="en-US" w:eastAsia="zh-CN"/>
              </w:rPr>
            </w:pPr>
            <w:r>
              <w:rPr>
                <w:rFonts w:hint="eastAsia" w:ascii="仿宋" w:hAnsi="仿宋" w:eastAsia="仿宋" w:cs="宋体"/>
              </w:rPr>
              <w:t>所依赖的政策制度能持续执行（</w:t>
            </w:r>
            <w:r>
              <w:rPr>
                <w:rFonts w:hint="eastAsia" w:ascii="仿宋" w:hAnsi="仿宋" w:eastAsia="仿宋" w:cs="宋体"/>
                <w:lang w:val="en-US" w:eastAsia="zh-CN"/>
              </w:rPr>
              <w:t>3分）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textAlignment w:val="center"/>
              <w:rPr>
                <w:rFonts w:hint="default" w:ascii="仿宋" w:hAnsi="仿宋" w:eastAsia="仿宋" w:cs="宋体"/>
                <w:lang w:val="en-US" w:eastAsia="zh-CN"/>
              </w:rPr>
            </w:pPr>
            <w:r>
              <w:rPr>
                <w:rFonts w:hint="eastAsia" w:ascii="仿宋" w:hAnsi="仿宋" w:eastAsia="仿宋" w:cs="宋体"/>
                <w:lang w:val="en-US" w:eastAsia="zh-CN"/>
              </w:rPr>
              <w:t>道路清扫经费项目执行所依赖的政策制度能持续执行。此项得3分。</w:t>
            </w:r>
          </w:p>
        </w:tc>
        <w:tc>
          <w:tcPr>
            <w:tcW w:w="993" w:type="dxa"/>
            <w:tcBorders>
              <w:top w:val="nil"/>
              <w:left w:val="nil"/>
              <w:bottom w:val="single" w:color="auto" w:sz="4" w:space="0"/>
              <w:right w:val="single" w:color="auto" w:sz="4" w:space="0"/>
            </w:tcBorders>
            <w:vAlign w:val="center"/>
          </w:tcPr>
          <w:p>
            <w:pPr>
              <w:jc w:val="center"/>
              <w:rPr>
                <w:rFonts w:hint="default" w:ascii="仿宋" w:hAnsi="仿宋" w:eastAsia="仿宋" w:cs="宋体"/>
                <w:lang w:val="en-US" w:eastAsia="zh-CN"/>
              </w:rPr>
            </w:pPr>
            <w:r>
              <w:rPr>
                <w:rFonts w:hint="eastAsia" w:ascii="仿宋" w:hAnsi="仿宋" w:eastAsia="仿宋" w:cs="宋体"/>
                <w:lang w:val="en-US" w:eastAsia="zh-CN"/>
              </w:rPr>
              <w:t>3</w:t>
            </w:r>
          </w:p>
        </w:tc>
      </w:tr>
      <w:tr>
        <w:tblPrEx>
          <w:tblCellMar>
            <w:top w:w="0" w:type="dxa"/>
            <w:left w:w="108" w:type="dxa"/>
            <w:bottom w:w="0" w:type="dxa"/>
            <w:right w:w="108" w:type="dxa"/>
          </w:tblCellMar>
        </w:tblPrEx>
        <w:trPr>
          <w:trHeight w:val="885" w:hRule="atLeast"/>
        </w:trPr>
        <w:tc>
          <w:tcPr>
            <w:tcW w:w="704" w:type="dxa"/>
            <w:vMerge w:val="continue"/>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宋体"/>
              </w:rPr>
            </w:pPr>
          </w:p>
        </w:tc>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服务对象满意度（5分）</w:t>
            </w: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hint="eastAsia" w:ascii="仿宋" w:hAnsi="仿宋" w:eastAsia="仿宋" w:cs="宋体"/>
              </w:rPr>
            </w:pPr>
            <w:r>
              <w:rPr>
                <w:rFonts w:hint="eastAsia" w:ascii="仿宋" w:hAnsi="仿宋" w:eastAsia="仿宋" w:cs="宋体"/>
              </w:rPr>
              <w:t>群众满意度</w:t>
            </w:r>
          </w:p>
          <w:p>
            <w:pPr>
              <w:jc w:val="center"/>
              <w:rPr>
                <w:rFonts w:hint="eastAsia" w:ascii="仿宋" w:hAnsi="仿宋" w:eastAsia="仿宋" w:cs="宋体"/>
              </w:rPr>
            </w:pPr>
            <w:r>
              <w:rPr>
                <w:rFonts w:hint="eastAsia" w:ascii="仿宋" w:hAnsi="仿宋" w:eastAsia="仿宋" w:cs="宋体"/>
              </w:rPr>
              <w:t>（5分）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r>
              <w:rPr>
                <w:rFonts w:hint="eastAsia" w:ascii="仿宋" w:hAnsi="仿宋" w:eastAsia="仿宋" w:cs="宋体"/>
              </w:rPr>
              <w:t>通过满意度问卷调查，按满意5分，</w:t>
            </w:r>
            <w:r>
              <w:rPr>
                <w:rFonts w:hint="eastAsia" w:ascii="仿宋" w:hAnsi="仿宋" w:eastAsia="仿宋" w:cs="宋体"/>
                <w:lang w:val="en-US" w:eastAsia="zh-CN"/>
              </w:rPr>
              <w:t>比较</w:t>
            </w:r>
            <w:r>
              <w:rPr>
                <w:rFonts w:hint="eastAsia" w:ascii="仿宋" w:hAnsi="仿宋" w:eastAsia="仿宋" w:cs="宋体"/>
              </w:rPr>
              <w:t>满意4分，一般3分，不满意2分，很不满意1分进行打分，加权平均折算为满意率。得分=满意率×分值。</w:t>
            </w:r>
          </w:p>
        </w:tc>
        <w:tc>
          <w:tcPr>
            <w:tcW w:w="993" w:type="dxa"/>
            <w:tcBorders>
              <w:top w:val="single" w:color="auto" w:sz="4" w:space="0"/>
              <w:left w:val="single" w:color="auto" w:sz="4" w:space="0"/>
              <w:bottom w:val="single" w:color="auto" w:sz="4" w:space="0"/>
              <w:right w:val="single" w:color="auto" w:sz="4" w:space="0"/>
            </w:tcBorders>
            <w:vAlign w:val="center"/>
          </w:tcPr>
          <w:p>
            <w:pPr>
              <w:jc w:val="center"/>
              <w:rPr>
                <w:rFonts w:hint="default" w:ascii="仿宋" w:hAnsi="仿宋" w:eastAsia="仿宋" w:cs="宋体"/>
                <w:highlight w:val="none"/>
                <w:lang w:val="en-US" w:eastAsia="zh-CN"/>
              </w:rPr>
            </w:pPr>
            <w:r>
              <w:rPr>
                <w:rFonts w:hint="eastAsia" w:ascii="仿宋" w:hAnsi="仿宋" w:eastAsia="仿宋" w:cs="宋体"/>
                <w:highlight w:val="none"/>
                <w:lang w:val="en-US" w:eastAsia="zh-CN"/>
              </w:rPr>
              <w:t>4.09</w:t>
            </w:r>
          </w:p>
        </w:tc>
      </w:tr>
      <w:tr>
        <w:tblPrEx>
          <w:tblCellMar>
            <w:top w:w="0" w:type="dxa"/>
            <w:left w:w="108" w:type="dxa"/>
            <w:bottom w:w="0" w:type="dxa"/>
            <w:right w:w="108" w:type="dxa"/>
          </w:tblCellMar>
        </w:tblPrEx>
        <w:trPr>
          <w:trHeight w:val="885" w:hRule="atLeast"/>
        </w:trPr>
        <w:tc>
          <w:tcPr>
            <w:tcW w:w="3114" w:type="dxa"/>
            <w:gridSpan w:val="3"/>
            <w:tcBorders>
              <w:top w:val="single" w:color="auto" w:sz="4" w:space="0"/>
              <w:left w:val="single" w:color="auto" w:sz="4" w:space="0"/>
              <w:bottom w:val="single" w:color="auto" w:sz="4" w:space="0"/>
              <w:right w:val="single" w:color="auto" w:sz="4" w:space="0"/>
            </w:tcBorders>
            <w:vAlign w:val="center"/>
          </w:tcPr>
          <w:p>
            <w:pPr>
              <w:jc w:val="center"/>
              <w:rPr>
                <w:rFonts w:hint="eastAsia" w:ascii="仿宋" w:hAnsi="仿宋" w:eastAsia="仿宋" w:cs="宋体"/>
              </w:rPr>
            </w:pPr>
            <w:r>
              <w:rPr>
                <w:rFonts w:hint="eastAsia" w:ascii="仿宋" w:hAnsi="仿宋" w:eastAsia="仿宋" w:cs="宋体"/>
              </w:rPr>
              <w:t>合计得分</w:t>
            </w:r>
          </w:p>
        </w:tc>
        <w:tc>
          <w:tcPr>
            <w:tcW w:w="4819" w:type="dxa"/>
            <w:tcBorders>
              <w:top w:val="single" w:color="auto" w:sz="4" w:space="0"/>
              <w:left w:val="single" w:color="auto" w:sz="4" w:space="0"/>
              <w:bottom w:val="single" w:color="auto" w:sz="4" w:space="0"/>
              <w:right w:val="single" w:color="auto" w:sz="4" w:space="0"/>
            </w:tcBorders>
            <w:shd w:val="clear" w:color="auto" w:fill="auto"/>
            <w:vAlign w:val="center"/>
          </w:tcPr>
          <w:p>
            <w:pPr>
              <w:rPr>
                <w:rFonts w:hint="eastAsia" w:ascii="仿宋" w:hAnsi="仿宋" w:eastAsia="仿宋" w:cs="宋体"/>
              </w:rPr>
            </w:pPr>
          </w:p>
        </w:tc>
        <w:tc>
          <w:tcPr>
            <w:tcW w:w="993" w:type="dxa"/>
            <w:tcBorders>
              <w:top w:val="single" w:color="auto" w:sz="4" w:space="0"/>
              <w:left w:val="nil"/>
              <w:bottom w:val="single" w:color="auto" w:sz="4" w:space="0"/>
              <w:right w:val="single" w:color="auto" w:sz="4" w:space="0"/>
            </w:tcBorders>
            <w:vAlign w:val="center"/>
          </w:tcPr>
          <w:p>
            <w:pPr>
              <w:jc w:val="center"/>
              <w:rPr>
                <w:rFonts w:hint="default" w:ascii="仿宋" w:hAnsi="仿宋" w:eastAsia="仿宋" w:cs="宋体"/>
                <w:lang w:val="en-US" w:eastAsia="zh-CN"/>
              </w:rPr>
            </w:pPr>
            <w:r>
              <w:rPr>
                <w:rFonts w:hint="eastAsia" w:ascii="仿宋" w:hAnsi="仿宋" w:eastAsia="仿宋" w:cs="宋体"/>
                <w:highlight w:val="none"/>
                <w:lang w:val="en-US" w:eastAsia="zh-CN"/>
              </w:rPr>
              <w:t>92.44</w:t>
            </w:r>
          </w:p>
        </w:tc>
      </w:tr>
    </w:tbl>
    <w:p>
      <w:pPr>
        <w:spacing w:line="360" w:lineRule="auto"/>
        <w:jc w:val="center"/>
        <w:rPr>
          <w:rFonts w:hint="eastAsia" w:ascii="仿宋" w:hAnsi="仿宋" w:eastAsia="仿宋"/>
          <w:b/>
          <w:bCs/>
          <w:sz w:val="28"/>
          <w:szCs w:val="28"/>
        </w:rPr>
      </w:pPr>
    </w:p>
    <w:p>
      <w:pPr>
        <w:spacing w:line="360" w:lineRule="auto"/>
        <w:rPr>
          <w:rFonts w:hint="eastAsia" w:ascii="仿宋" w:hAnsi="仿宋" w:eastAsia="仿宋"/>
          <w:b/>
          <w:bCs/>
          <w:sz w:val="28"/>
          <w:szCs w:val="28"/>
        </w:rPr>
      </w:pPr>
    </w:p>
    <w:p>
      <w:pPr>
        <w:rPr>
          <w:rFonts w:hint="eastAsia" w:ascii="仿宋" w:hAnsi="仿宋" w:eastAsia="仿宋"/>
        </w:rPr>
      </w:pPr>
    </w:p>
    <w:p>
      <w:pPr>
        <w:bidi w:val="0"/>
        <w:rPr>
          <w:rFonts w:hint="eastAsia"/>
        </w:rPr>
      </w:pPr>
    </w:p>
    <w:p>
      <w:pPr>
        <w:spacing w:line="360" w:lineRule="auto"/>
        <w:outlineLvl w:val="0"/>
        <w:rPr>
          <w:rFonts w:hint="eastAsia" w:ascii="仿宋" w:hAnsi="仿宋" w:eastAsia="仿宋"/>
          <w:b/>
          <w:bCs/>
          <w:sz w:val="28"/>
          <w:szCs w:val="28"/>
        </w:rPr>
      </w:pPr>
      <w:bookmarkStart w:id="100" w:name="_Toc23146"/>
    </w:p>
    <w:bookmarkEnd w:id="100"/>
    <w:p>
      <w:pPr>
        <w:rPr>
          <w:rFonts w:hint="eastAsia" w:ascii="仿宋" w:hAnsi="仿宋" w:eastAsia="仿宋" w:cs="宋体"/>
          <w:b/>
          <w:bCs/>
          <w:snapToGrid/>
          <w:color w:val="auto"/>
        </w:rPr>
      </w:pPr>
    </w:p>
    <w:sectPr>
      <w:footerReference r:id="rId4" w:type="default"/>
      <w:pgSz w:w="11906" w:h="16838"/>
      <w:pgMar w:top="1440" w:right="1134" w:bottom="1134" w:left="1417" w:header="851" w:footer="850"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隶书">
    <w:panose1 w:val="02010509060101010101"/>
    <w:charset w:val="86"/>
    <w:family w:val="modern"/>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Microsoft YaHei UI">
    <w:altName w:val="宋体"/>
    <w:panose1 w:val="020B0503020204020204"/>
    <w:charset w:val="86"/>
    <w:family w:val="swiss"/>
    <w:pitch w:val="default"/>
    <w:sig w:usb0="00000000" w:usb1="00000000" w:usb2="00000016" w:usb3="00000000" w:csb0="0004001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p>
  <w:p>
    <w:pPr>
      <w:spacing w:line="140" w:lineRule="auto"/>
      <w:rPr>
        <w:rFonts w:ascii="Times New Roman" w:hAnsi="Times New Roman" w:cs="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241633817"/>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16"/>
                            <w:jc w:val="center"/>
                          </w:pPr>
                        </w:p>
                        <w:p>
                          <w:pPr>
                            <w:pStyle w:val="35"/>
                            <w:ind w:left="420" w:firstLine="560"/>
                            <w:rPr>
                              <w:rFonts w:hint="default"/>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sdt>
                    <w:sdtPr>
                      <w:id w:val="-1241633817"/>
                    </w:sdtPr>
                    <w:sdtContent>
                      <w:p>
                        <w:pPr>
                          <w:pStyle w:val="16"/>
                          <w:jc w:val="center"/>
                        </w:pPr>
                        <w:r>
                          <w:fldChar w:fldCharType="begin"/>
                        </w:r>
                        <w:r>
                          <w:instrText xml:space="preserve">PAGE   \* MERGEFORMAT</w:instrText>
                        </w:r>
                        <w:r>
                          <w:fldChar w:fldCharType="separate"/>
                        </w:r>
                        <w:r>
                          <w:rPr>
                            <w:lang w:val="zh-CN"/>
                          </w:rPr>
                          <w:t>2</w:t>
                        </w:r>
                        <w:r>
                          <w:fldChar w:fldCharType="end"/>
                        </w:r>
                      </w:p>
                    </w:sdtContent>
                  </w:sdt>
                  <w:p>
                    <w:pPr>
                      <w:pStyle w:val="16"/>
                      <w:jc w:val="center"/>
                    </w:pPr>
                  </w:p>
                  <w:p>
                    <w:pPr>
                      <w:pStyle w:val="35"/>
                      <w:ind w:left="420" w:firstLine="560"/>
                      <w:rPr>
                        <w:rFonts w:hint="default"/>
                      </w:rPr>
                    </w:pPr>
                  </w:p>
                </w:txbxContent>
              </v:textbox>
            </v:shape>
          </w:pict>
        </mc:Fallback>
      </mc:AlternateContent>
    </w:r>
  </w:p>
  <w:p>
    <w:pPr>
      <w:spacing w:line="140" w:lineRule="auto"/>
      <w:rPr>
        <w:rFonts w:ascii="Times New Roman" w:hAnsi="Times New Roman" w:cs="Times New Roman"/>
        <w:sz w:val="18"/>
        <w:szCs w:val="18"/>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F84579"/>
    <w:multiLevelType w:val="singleLevel"/>
    <w:tmpl w:val="54F84579"/>
    <w:lvl w:ilvl="0" w:tentative="0">
      <w:start w:val="1"/>
      <w:numFmt w:val="decimal"/>
      <w:pStyle w:val="20"/>
      <w:lvlText w:val="%1."/>
      <w:lvlJc w:val="left"/>
      <w:pPr>
        <w:tabs>
          <w:tab w:val="left" w:pos="1620"/>
        </w:tabs>
        <w:ind w:left="16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jOTQxYzhjODMyMDAzZmE0MDJkMWFkNmJlNDkwYTUifQ=="/>
  </w:docVars>
  <w:rsids>
    <w:rsidRoot w:val="00604262"/>
    <w:rsid w:val="00003323"/>
    <w:rsid w:val="00010083"/>
    <w:rsid w:val="00011279"/>
    <w:rsid w:val="00021F53"/>
    <w:rsid w:val="00022F97"/>
    <w:rsid w:val="00031CA5"/>
    <w:rsid w:val="00037D0F"/>
    <w:rsid w:val="000431D3"/>
    <w:rsid w:val="00045614"/>
    <w:rsid w:val="00045C78"/>
    <w:rsid w:val="00047FA7"/>
    <w:rsid w:val="00047FF1"/>
    <w:rsid w:val="00050951"/>
    <w:rsid w:val="00050EB9"/>
    <w:rsid w:val="000512C5"/>
    <w:rsid w:val="00052D42"/>
    <w:rsid w:val="0005488F"/>
    <w:rsid w:val="0005634E"/>
    <w:rsid w:val="000575E2"/>
    <w:rsid w:val="0006547F"/>
    <w:rsid w:val="000747F4"/>
    <w:rsid w:val="00076617"/>
    <w:rsid w:val="00087729"/>
    <w:rsid w:val="000969FB"/>
    <w:rsid w:val="00097782"/>
    <w:rsid w:val="000B3A33"/>
    <w:rsid w:val="000B3E89"/>
    <w:rsid w:val="000B661F"/>
    <w:rsid w:val="000D37BD"/>
    <w:rsid w:val="000D3BC8"/>
    <w:rsid w:val="000D5396"/>
    <w:rsid w:val="000D7B77"/>
    <w:rsid w:val="000D7D29"/>
    <w:rsid w:val="000E38BF"/>
    <w:rsid w:val="000E7459"/>
    <w:rsid w:val="000E7FFA"/>
    <w:rsid w:val="000F3587"/>
    <w:rsid w:val="000F7C84"/>
    <w:rsid w:val="000F7CC7"/>
    <w:rsid w:val="00105827"/>
    <w:rsid w:val="001145E3"/>
    <w:rsid w:val="00117A5C"/>
    <w:rsid w:val="0012422A"/>
    <w:rsid w:val="001303AA"/>
    <w:rsid w:val="00134F26"/>
    <w:rsid w:val="0014316D"/>
    <w:rsid w:val="00161F1D"/>
    <w:rsid w:val="00164278"/>
    <w:rsid w:val="001711AB"/>
    <w:rsid w:val="001758BF"/>
    <w:rsid w:val="001833FC"/>
    <w:rsid w:val="0019692D"/>
    <w:rsid w:val="001A15D3"/>
    <w:rsid w:val="001A2F2C"/>
    <w:rsid w:val="001A52B6"/>
    <w:rsid w:val="001B58F9"/>
    <w:rsid w:val="001D0180"/>
    <w:rsid w:val="001D0890"/>
    <w:rsid w:val="001D1540"/>
    <w:rsid w:val="001D29D7"/>
    <w:rsid w:val="001D53CB"/>
    <w:rsid w:val="001D640F"/>
    <w:rsid w:val="001D67B9"/>
    <w:rsid w:val="001E1825"/>
    <w:rsid w:val="001E3734"/>
    <w:rsid w:val="001E38AB"/>
    <w:rsid w:val="001E3EC8"/>
    <w:rsid w:val="001F2477"/>
    <w:rsid w:val="001F294B"/>
    <w:rsid w:val="001F4ED4"/>
    <w:rsid w:val="001F4FBA"/>
    <w:rsid w:val="001F6EB5"/>
    <w:rsid w:val="00201F93"/>
    <w:rsid w:val="00211F61"/>
    <w:rsid w:val="00212B15"/>
    <w:rsid w:val="00220919"/>
    <w:rsid w:val="00220B1B"/>
    <w:rsid w:val="0022216A"/>
    <w:rsid w:val="00225621"/>
    <w:rsid w:val="00227824"/>
    <w:rsid w:val="00232197"/>
    <w:rsid w:val="00232EF5"/>
    <w:rsid w:val="00243AE9"/>
    <w:rsid w:val="00243D15"/>
    <w:rsid w:val="00244169"/>
    <w:rsid w:val="00244B5A"/>
    <w:rsid w:val="00246157"/>
    <w:rsid w:val="0024761F"/>
    <w:rsid w:val="002554F4"/>
    <w:rsid w:val="00272CE7"/>
    <w:rsid w:val="002841D3"/>
    <w:rsid w:val="002866BC"/>
    <w:rsid w:val="00287575"/>
    <w:rsid w:val="0028767C"/>
    <w:rsid w:val="002906D0"/>
    <w:rsid w:val="0029217B"/>
    <w:rsid w:val="002A447B"/>
    <w:rsid w:val="002A4AD7"/>
    <w:rsid w:val="002A5052"/>
    <w:rsid w:val="002B0602"/>
    <w:rsid w:val="002B23BA"/>
    <w:rsid w:val="002B6583"/>
    <w:rsid w:val="002B6EFC"/>
    <w:rsid w:val="002D4B39"/>
    <w:rsid w:val="002D4F2D"/>
    <w:rsid w:val="002E12EF"/>
    <w:rsid w:val="002E2407"/>
    <w:rsid w:val="002F0E2D"/>
    <w:rsid w:val="0030234F"/>
    <w:rsid w:val="003026D4"/>
    <w:rsid w:val="0030370B"/>
    <w:rsid w:val="00322CA1"/>
    <w:rsid w:val="003335CA"/>
    <w:rsid w:val="003400F2"/>
    <w:rsid w:val="00346063"/>
    <w:rsid w:val="003554B0"/>
    <w:rsid w:val="00356C9F"/>
    <w:rsid w:val="00361233"/>
    <w:rsid w:val="00361C51"/>
    <w:rsid w:val="003707EE"/>
    <w:rsid w:val="0037795D"/>
    <w:rsid w:val="00380A3C"/>
    <w:rsid w:val="00381ECD"/>
    <w:rsid w:val="003871D6"/>
    <w:rsid w:val="003952DF"/>
    <w:rsid w:val="00397563"/>
    <w:rsid w:val="00397B1B"/>
    <w:rsid w:val="003B01DD"/>
    <w:rsid w:val="003B3876"/>
    <w:rsid w:val="003B434B"/>
    <w:rsid w:val="003B4B05"/>
    <w:rsid w:val="003C1103"/>
    <w:rsid w:val="003D1149"/>
    <w:rsid w:val="003D32E8"/>
    <w:rsid w:val="003E1DE7"/>
    <w:rsid w:val="003E47E4"/>
    <w:rsid w:val="003E71D1"/>
    <w:rsid w:val="003F090C"/>
    <w:rsid w:val="003F1E2A"/>
    <w:rsid w:val="0040217B"/>
    <w:rsid w:val="00411A6D"/>
    <w:rsid w:val="0042196C"/>
    <w:rsid w:val="004266D5"/>
    <w:rsid w:val="00444C69"/>
    <w:rsid w:val="00446D1F"/>
    <w:rsid w:val="00450C19"/>
    <w:rsid w:val="00461017"/>
    <w:rsid w:val="00470CC4"/>
    <w:rsid w:val="00472960"/>
    <w:rsid w:val="0047329C"/>
    <w:rsid w:val="0047474E"/>
    <w:rsid w:val="0048150E"/>
    <w:rsid w:val="00484BF9"/>
    <w:rsid w:val="004909B8"/>
    <w:rsid w:val="004916A9"/>
    <w:rsid w:val="00492966"/>
    <w:rsid w:val="004A59BE"/>
    <w:rsid w:val="004B3612"/>
    <w:rsid w:val="004B4914"/>
    <w:rsid w:val="004C5263"/>
    <w:rsid w:val="004C5DBD"/>
    <w:rsid w:val="004C6C8C"/>
    <w:rsid w:val="004D0AEA"/>
    <w:rsid w:val="004D69E3"/>
    <w:rsid w:val="004E3517"/>
    <w:rsid w:val="004E38AE"/>
    <w:rsid w:val="004E47D8"/>
    <w:rsid w:val="004E4C41"/>
    <w:rsid w:val="004E5255"/>
    <w:rsid w:val="004E62CB"/>
    <w:rsid w:val="004F1B0A"/>
    <w:rsid w:val="004F3978"/>
    <w:rsid w:val="00511B30"/>
    <w:rsid w:val="00524FF2"/>
    <w:rsid w:val="0054129A"/>
    <w:rsid w:val="00542665"/>
    <w:rsid w:val="00543E8B"/>
    <w:rsid w:val="0055180D"/>
    <w:rsid w:val="00557348"/>
    <w:rsid w:val="0056163F"/>
    <w:rsid w:val="005618AE"/>
    <w:rsid w:val="0056253B"/>
    <w:rsid w:val="00563A71"/>
    <w:rsid w:val="00566563"/>
    <w:rsid w:val="00566E75"/>
    <w:rsid w:val="00581177"/>
    <w:rsid w:val="00587B80"/>
    <w:rsid w:val="005A065F"/>
    <w:rsid w:val="005A7E20"/>
    <w:rsid w:val="005B261E"/>
    <w:rsid w:val="005C2A8D"/>
    <w:rsid w:val="005C31B8"/>
    <w:rsid w:val="005C42E9"/>
    <w:rsid w:val="005D5D27"/>
    <w:rsid w:val="005D6AA9"/>
    <w:rsid w:val="005E0B56"/>
    <w:rsid w:val="005E1F0C"/>
    <w:rsid w:val="005E21FF"/>
    <w:rsid w:val="005F2FCC"/>
    <w:rsid w:val="005F3169"/>
    <w:rsid w:val="005F5145"/>
    <w:rsid w:val="005F7576"/>
    <w:rsid w:val="00604262"/>
    <w:rsid w:val="006044BE"/>
    <w:rsid w:val="00612E1F"/>
    <w:rsid w:val="00617976"/>
    <w:rsid w:val="0062410A"/>
    <w:rsid w:val="0062686A"/>
    <w:rsid w:val="006404B8"/>
    <w:rsid w:val="006452C4"/>
    <w:rsid w:val="00647415"/>
    <w:rsid w:val="00664CF6"/>
    <w:rsid w:val="00665598"/>
    <w:rsid w:val="00667358"/>
    <w:rsid w:val="00671032"/>
    <w:rsid w:val="0067207A"/>
    <w:rsid w:val="006778AD"/>
    <w:rsid w:val="006804D8"/>
    <w:rsid w:val="00682B29"/>
    <w:rsid w:val="00696F26"/>
    <w:rsid w:val="0069772D"/>
    <w:rsid w:val="006A1BB9"/>
    <w:rsid w:val="006A4C37"/>
    <w:rsid w:val="006B3B78"/>
    <w:rsid w:val="006C33CD"/>
    <w:rsid w:val="006C54F9"/>
    <w:rsid w:val="006E1649"/>
    <w:rsid w:val="006E3593"/>
    <w:rsid w:val="006E5C4A"/>
    <w:rsid w:val="006F0EC2"/>
    <w:rsid w:val="006F3422"/>
    <w:rsid w:val="006F42F2"/>
    <w:rsid w:val="006F5BBE"/>
    <w:rsid w:val="007106F7"/>
    <w:rsid w:val="007142E4"/>
    <w:rsid w:val="0071461C"/>
    <w:rsid w:val="00715E3C"/>
    <w:rsid w:val="00726A85"/>
    <w:rsid w:val="00734DA1"/>
    <w:rsid w:val="0073569D"/>
    <w:rsid w:val="00740BE2"/>
    <w:rsid w:val="00741FC6"/>
    <w:rsid w:val="0074713C"/>
    <w:rsid w:val="007521A0"/>
    <w:rsid w:val="0076422B"/>
    <w:rsid w:val="0076780D"/>
    <w:rsid w:val="00773B02"/>
    <w:rsid w:val="007740C7"/>
    <w:rsid w:val="00774406"/>
    <w:rsid w:val="00782C12"/>
    <w:rsid w:val="00784C21"/>
    <w:rsid w:val="0078538C"/>
    <w:rsid w:val="00790BEE"/>
    <w:rsid w:val="00792877"/>
    <w:rsid w:val="007A488F"/>
    <w:rsid w:val="007C371C"/>
    <w:rsid w:val="007C530F"/>
    <w:rsid w:val="007D0869"/>
    <w:rsid w:val="007E473E"/>
    <w:rsid w:val="007F3A12"/>
    <w:rsid w:val="00801171"/>
    <w:rsid w:val="008072A6"/>
    <w:rsid w:val="00815DD7"/>
    <w:rsid w:val="00817DD3"/>
    <w:rsid w:val="008215A4"/>
    <w:rsid w:val="00821E34"/>
    <w:rsid w:val="008278DD"/>
    <w:rsid w:val="00830D51"/>
    <w:rsid w:val="00831392"/>
    <w:rsid w:val="00833B16"/>
    <w:rsid w:val="00841F79"/>
    <w:rsid w:val="0084355D"/>
    <w:rsid w:val="00845603"/>
    <w:rsid w:val="00845C07"/>
    <w:rsid w:val="00845F83"/>
    <w:rsid w:val="008467A0"/>
    <w:rsid w:val="00854C34"/>
    <w:rsid w:val="00857DDB"/>
    <w:rsid w:val="008674C1"/>
    <w:rsid w:val="008706CD"/>
    <w:rsid w:val="00872533"/>
    <w:rsid w:val="008725FD"/>
    <w:rsid w:val="00884857"/>
    <w:rsid w:val="00887048"/>
    <w:rsid w:val="0089175B"/>
    <w:rsid w:val="00891ABB"/>
    <w:rsid w:val="00897755"/>
    <w:rsid w:val="008A0B51"/>
    <w:rsid w:val="008C01D2"/>
    <w:rsid w:val="008C1FD9"/>
    <w:rsid w:val="008C5373"/>
    <w:rsid w:val="008C68E4"/>
    <w:rsid w:val="008C79EA"/>
    <w:rsid w:val="008D435F"/>
    <w:rsid w:val="008D691C"/>
    <w:rsid w:val="008E709A"/>
    <w:rsid w:val="008F1C80"/>
    <w:rsid w:val="00900742"/>
    <w:rsid w:val="009008FF"/>
    <w:rsid w:val="00904E74"/>
    <w:rsid w:val="00910768"/>
    <w:rsid w:val="00925FE3"/>
    <w:rsid w:val="00926B72"/>
    <w:rsid w:val="00940D4E"/>
    <w:rsid w:val="009426A4"/>
    <w:rsid w:val="0094613A"/>
    <w:rsid w:val="00950E1D"/>
    <w:rsid w:val="00961570"/>
    <w:rsid w:val="0096264D"/>
    <w:rsid w:val="00963B64"/>
    <w:rsid w:val="00964F7A"/>
    <w:rsid w:val="0096654B"/>
    <w:rsid w:val="00970BE4"/>
    <w:rsid w:val="009730AE"/>
    <w:rsid w:val="00975012"/>
    <w:rsid w:val="00982C9F"/>
    <w:rsid w:val="0098325A"/>
    <w:rsid w:val="0098776E"/>
    <w:rsid w:val="00992DE2"/>
    <w:rsid w:val="00996DB9"/>
    <w:rsid w:val="009A23B2"/>
    <w:rsid w:val="009A5779"/>
    <w:rsid w:val="009B784C"/>
    <w:rsid w:val="009C645D"/>
    <w:rsid w:val="009E52FE"/>
    <w:rsid w:val="009F3360"/>
    <w:rsid w:val="009F5982"/>
    <w:rsid w:val="009F63BE"/>
    <w:rsid w:val="00A0136F"/>
    <w:rsid w:val="00A04ACC"/>
    <w:rsid w:val="00A0751E"/>
    <w:rsid w:val="00A128D6"/>
    <w:rsid w:val="00A13E15"/>
    <w:rsid w:val="00A22A18"/>
    <w:rsid w:val="00A30306"/>
    <w:rsid w:val="00A332E4"/>
    <w:rsid w:val="00A41BD2"/>
    <w:rsid w:val="00A427F7"/>
    <w:rsid w:val="00A44456"/>
    <w:rsid w:val="00A54C42"/>
    <w:rsid w:val="00A74EAF"/>
    <w:rsid w:val="00A75B7A"/>
    <w:rsid w:val="00A80B5E"/>
    <w:rsid w:val="00A86162"/>
    <w:rsid w:val="00A91C56"/>
    <w:rsid w:val="00A92FED"/>
    <w:rsid w:val="00A93917"/>
    <w:rsid w:val="00A9619D"/>
    <w:rsid w:val="00AA1FED"/>
    <w:rsid w:val="00AA50F1"/>
    <w:rsid w:val="00AB16F3"/>
    <w:rsid w:val="00AD302C"/>
    <w:rsid w:val="00AD311B"/>
    <w:rsid w:val="00AD3519"/>
    <w:rsid w:val="00AD4139"/>
    <w:rsid w:val="00AE0B4F"/>
    <w:rsid w:val="00AE463C"/>
    <w:rsid w:val="00AE642D"/>
    <w:rsid w:val="00AE7D1A"/>
    <w:rsid w:val="00AF76D2"/>
    <w:rsid w:val="00B0770D"/>
    <w:rsid w:val="00B077FA"/>
    <w:rsid w:val="00B07AE6"/>
    <w:rsid w:val="00B2436E"/>
    <w:rsid w:val="00B31938"/>
    <w:rsid w:val="00B373A2"/>
    <w:rsid w:val="00B428E1"/>
    <w:rsid w:val="00B475EE"/>
    <w:rsid w:val="00B50514"/>
    <w:rsid w:val="00B7557B"/>
    <w:rsid w:val="00B81E24"/>
    <w:rsid w:val="00B932F9"/>
    <w:rsid w:val="00B94732"/>
    <w:rsid w:val="00B96AA6"/>
    <w:rsid w:val="00B9782B"/>
    <w:rsid w:val="00BA46FC"/>
    <w:rsid w:val="00BB4C42"/>
    <w:rsid w:val="00BB51FF"/>
    <w:rsid w:val="00BC023A"/>
    <w:rsid w:val="00BC5C05"/>
    <w:rsid w:val="00BD0710"/>
    <w:rsid w:val="00BD78B8"/>
    <w:rsid w:val="00BE78D3"/>
    <w:rsid w:val="00C046F1"/>
    <w:rsid w:val="00C10539"/>
    <w:rsid w:val="00C118DA"/>
    <w:rsid w:val="00C1755F"/>
    <w:rsid w:val="00C2684A"/>
    <w:rsid w:val="00C3027A"/>
    <w:rsid w:val="00C333B3"/>
    <w:rsid w:val="00C3747F"/>
    <w:rsid w:val="00C40167"/>
    <w:rsid w:val="00C4317F"/>
    <w:rsid w:val="00C44686"/>
    <w:rsid w:val="00C47A9F"/>
    <w:rsid w:val="00C51D35"/>
    <w:rsid w:val="00C56B5A"/>
    <w:rsid w:val="00C57F0F"/>
    <w:rsid w:val="00C610D9"/>
    <w:rsid w:val="00C70079"/>
    <w:rsid w:val="00C7018F"/>
    <w:rsid w:val="00C85068"/>
    <w:rsid w:val="00C960D2"/>
    <w:rsid w:val="00CA356D"/>
    <w:rsid w:val="00CB51B0"/>
    <w:rsid w:val="00CC19DB"/>
    <w:rsid w:val="00CC1AA5"/>
    <w:rsid w:val="00CC2DA5"/>
    <w:rsid w:val="00CC38E0"/>
    <w:rsid w:val="00CD5C91"/>
    <w:rsid w:val="00CD6972"/>
    <w:rsid w:val="00CE3603"/>
    <w:rsid w:val="00CF0868"/>
    <w:rsid w:val="00CF180B"/>
    <w:rsid w:val="00D00B8A"/>
    <w:rsid w:val="00D1281C"/>
    <w:rsid w:val="00D14DB3"/>
    <w:rsid w:val="00D206AB"/>
    <w:rsid w:val="00D4283E"/>
    <w:rsid w:val="00D42FA0"/>
    <w:rsid w:val="00D472D8"/>
    <w:rsid w:val="00D50AB1"/>
    <w:rsid w:val="00D51077"/>
    <w:rsid w:val="00D531AA"/>
    <w:rsid w:val="00D567BE"/>
    <w:rsid w:val="00D6022D"/>
    <w:rsid w:val="00D61EC5"/>
    <w:rsid w:val="00D65F74"/>
    <w:rsid w:val="00D71EE7"/>
    <w:rsid w:val="00D73441"/>
    <w:rsid w:val="00D8453B"/>
    <w:rsid w:val="00D84C1C"/>
    <w:rsid w:val="00D850EE"/>
    <w:rsid w:val="00D86EA6"/>
    <w:rsid w:val="00D87733"/>
    <w:rsid w:val="00D90032"/>
    <w:rsid w:val="00DA22F0"/>
    <w:rsid w:val="00DA2E37"/>
    <w:rsid w:val="00DA5732"/>
    <w:rsid w:val="00DB6037"/>
    <w:rsid w:val="00DB65CC"/>
    <w:rsid w:val="00DC0088"/>
    <w:rsid w:val="00DC2A73"/>
    <w:rsid w:val="00DC3B41"/>
    <w:rsid w:val="00DC6286"/>
    <w:rsid w:val="00DD4265"/>
    <w:rsid w:val="00DD5C54"/>
    <w:rsid w:val="00DF0155"/>
    <w:rsid w:val="00DF019D"/>
    <w:rsid w:val="00DF1FC2"/>
    <w:rsid w:val="00DF4CF5"/>
    <w:rsid w:val="00DF6EEC"/>
    <w:rsid w:val="00E06581"/>
    <w:rsid w:val="00E107A6"/>
    <w:rsid w:val="00E11417"/>
    <w:rsid w:val="00E15453"/>
    <w:rsid w:val="00E15F74"/>
    <w:rsid w:val="00E23B3A"/>
    <w:rsid w:val="00E2745A"/>
    <w:rsid w:val="00E30817"/>
    <w:rsid w:val="00E338B4"/>
    <w:rsid w:val="00E34641"/>
    <w:rsid w:val="00E44585"/>
    <w:rsid w:val="00E471E2"/>
    <w:rsid w:val="00E634EB"/>
    <w:rsid w:val="00E767B9"/>
    <w:rsid w:val="00E80A4C"/>
    <w:rsid w:val="00E83633"/>
    <w:rsid w:val="00E83C0B"/>
    <w:rsid w:val="00E85D71"/>
    <w:rsid w:val="00E86432"/>
    <w:rsid w:val="00E87D32"/>
    <w:rsid w:val="00E922EF"/>
    <w:rsid w:val="00E92EDA"/>
    <w:rsid w:val="00E93EEB"/>
    <w:rsid w:val="00EA2F3E"/>
    <w:rsid w:val="00EA3B7B"/>
    <w:rsid w:val="00EB4BC3"/>
    <w:rsid w:val="00EB6F1E"/>
    <w:rsid w:val="00EC4F36"/>
    <w:rsid w:val="00ED5F94"/>
    <w:rsid w:val="00EE68E8"/>
    <w:rsid w:val="00EF4B38"/>
    <w:rsid w:val="00F01273"/>
    <w:rsid w:val="00F03FDA"/>
    <w:rsid w:val="00F13D32"/>
    <w:rsid w:val="00F227BF"/>
    <w:rsid w:val="00F24620"/>
    <w:rsid w:val="00F26C65"/>
    <w:rsid w:val="00F32DBC"/>
    <w:rsid w:val="00F47603"/>
    <w:rsid w:val="00F47AAB"/>
    <w:rsid w:val="00F5122E"/>
    <w:rsid w:val="00F52F09"/>
    <w:rsid w:val="00F549CF"/>
    <w:rsid w:val="00F561D7"/>
    <w:rsid w:val="00F56C0F"/>
    <w:rsid w:val="00F62519"/>
    <w:rsid w:val="00F70379"/>
    <w:rsid w:val="00F7441E"/>
    <w:rsid w:val="00F831B6"/>
    <w:rsid w:val="00F87AA5"/>
    <w:rsid w:val="00F92F91"/>
    <w:rsid w:val="00F9603C"/>
    <w:rsid w:val="00FA748A"/>
    <w:rsid w:val="00FB5B11"/>
    <w:rsid w:val="00FB640E"/>
    <w:rsid w:val="00FB6C95"/>
    <w:rsid w:val="00FB7994"/>
    <w:rsid w:val="00FC4F02"/>
    <w:rsid w:val="00FD25FA"/>
    <w:rsid w:val="00FD69E2"/>
    <w:rsid w:val="00FE0EBE"/>
    <w:rsid w:val="00FE112A"/>
    <w:rsid w:val="00FE724E"/>
    <w:rsid w:val="00FF2ADB"/>
    <w:rsid w:val="00FF2FBE"/>
    <w:rsid w:val="00FF3D39"/>
    <w:rsid w:val="00FF4CEA"/>
    <w:rsid w:val="00FF7E6E"/>
    <w:rsid w:val="012E531C"/>
    <w:rsid w:val="02174769"/>
    <w:rsid w:val="022D2870"/>
    <w:rsid w:val="031A3BC8"/>
    <w:rsid w:val="05926FBA"/>
    <w:rsid w:val="05C7610C"/>
    <w:rsid w:val="05E50738"/>
    <w:rsid w:val="06DA6E0B"/>
    <w:rsid w:val="06F36C18"/>
    <w:rsid w:val="07565C97"/>
    <w:rsid w:val="08036D19"/>
    <w:rsid w:val="08BA7DAA"/>
    <w:rsid w:val="0C5862B0"/>
    <w:rsid w:val="0D17149D"/>
    <w:rsid w:val="0D3A5AF0"/>
    <w:rsid w:val="0D4E678B"/>
    <w:rsid w:val="0D5F6644"/>
    <w:rsid w:val="0DE17488"/>
    <w:rsid w:val="0E123F48"/>
    <w:rsid w:val="0EC72694"/>
    <w:rsid w:val="0FC86214"/>
    <w:rsid w:val="10821D05"/>
    <w:rsid w:val="11266094"/>
    <w:rsid w:val="11BD0FA1"/>
    <w:rsid w:val="12121D88"/>
    <w:rsid w:val="122C166B"/>
    <w:rsid w:val="12392160"/>
    <w:rsid w:val="126739ED"/>
    <w:rsid w:val="1364016A"/>
    <w:rsid w:val="13E82D42"/>
    <w:rsid w:val="141C7944"/>
    <w:rsid w:val="1479272D"/>
    <w:rsid w:val="14D65DAB"/>
    <w:rsid w:val="151B4B55"/>
    <w:rsid w:val="15246C97"/>
    <w:rsid w:val="15C05F25"/>
    <w:rsid w:val="17B10AC3"/>
    <w:rsid w:val="19A462A0"/>
    <w:rsid w:val="1A165DEC"/>
    <w:rsid w:val="1A6E0E28"/>
    <w:rsid w:val="1B10201C"/>
    <w:rsid w:val="1B27627B"/>
    <w:rsid w:val="1B6602E3"/>
    <w:rsid w:val="1BC519FE"/>
    <w:rsid w:val="1C637B7E"/>
    <w:rsid w:val="1CA613B3"/>
    <w:rsid w:val="1CED5019"/>
    <w:rsid w:val="1D944A79"/>
    <w:rsid w:val="1D9D0416"/>
    <w:rsid w:val="1DA54606"/>
    <w:rsid w:val="1F771E67"/>
    <w:rsid w:val="1F7A0B88"/>
    <w:rsid w:val="1F7F6A07"/>
    <w:rsid w:val="1FC901F2"/>
    <w:rsid w:val="1FE32785"/>
    <w:rsid w:val="2011123A"/>
    <w:rsid w:val="20452EDD"/>
    <w:rsid w:val="209E5657"/>
    <w:rsid w:val="219540D9"/>
    <w:rsid w:val="22503499"/>
    <w:rsid w:val="229F4722"/>
    <w:rsid w:val="232C6140"/>
    <w:rsid w:val="241B3283"/>
    <w:rsid w:val="24264FA9"/>
    <w:rsid w:val="25B51F4E"/>
    <w:rsid w:val="2713624A"/>
    <w:rsid w:val="273F2943"/>
    <w:rsid w:val="27500A35"/>
    <w:rsid w:val="27B80BA5"/>
    <w:rsid w:val="29A93E4D"/>
    <w:rsid w:val="2A394890"/>
    <w:rsid w:val="2A751744"/>
    <w:rsid w:val="2A8276E2"/>
    <w:rsid w:val="2A8556F3"/>
    <w:rsid w:val="2ABA3475"/>
    <w:rsid w:val="2AF15CAA"/>
    <w:rsid w:val="2B002999"/>
    <w:rsid w:val="2B257AC3"/>
    <w:rsid w:val="2C930185"/>
    <w:rsid w:val="2CA31F8E"/>
    <w:rsid w:val="2CAD7BC9"/>
    <w:rsid w:val="2CD7371B"/>
    <w:rsid w:val="2CEC425B"/>
    <w:rsid w:val="2DA63355"/>
    <w:rsid w:val="2E1D2B53"/>
    <w:rsid w:val="2EAE76B6"/>
    <w:rsid w:val="2EDC2460"/>
    <w:rsid w:val="2EE01F6B"/>
    <w:rsid w:val="2EE5593F"/>
    <w:rsid w:val="2F0A330F"/>
    <w:rsid w:val="2F280FAE"/>
    <w:rsid w:val="302155E9"/>
    <w:rsid w:val="309809A6"/>
    <w:rsid w:val="3152079E"/>
    <w:rsid w:val="32306D68"/>
    <w:rsid w:val="32A41A99"/>
    <w:rsid w:val="32EE0FD3"/>
    <w:rsid w:val="33336FAB"/>
    <w:rsid w:val="33813B89"/>
    <w:rsid w:val="339B146D"/>
    <w:rsid w:val="344961D7"/>
    <w:rsid w:val="349B13D2"/>
    <w:rsid w:val="35064C8D"/>
    <w:rsid w:val="350C028C"/>
    <w:rsid w:val="36E14494"/>
    <w:rsid w:val="374D253E"/>
    <w:rsid w:val="37C631C9"/>
    <w:rsid w:val="37CD1A92"/>
    <w:rsid w:val="37EC2B6A"/>
    <w:rsid w:val="38241974"/>
    <w:rsid w:val="389211E2"/>
    <w:rsid w:val="389629C5"/>
    <w:rsid w:val="38E62A8C"/>
    <w:rsid w:val="38FE45B8"/>
    <w:rsid w:val="391F5835"/>
    <w:rsid w:val="39981CF9"/>
    <w:rsid w:val="39AD22D4"/>
    <w:rsid w:val="3A057C43"/>
    <w:rsid w:val="3A4A1F4B"/>
    <w:rsid w:val="3AF3473B"/>
    <w:rsid w:val="3B3335ED"/>
    <w:rsid w:val="3C1A2C55"/>
    <w:rsid w:val="3CB47338"/>
    <w:rsid w:val="3CB75CCF"/>
    <w:rsid w:val="3D2722C1"/>
    <w:rsid w:val="3E0E05C4"/>
    <w:rsid w:val="3FCE17F0"/>
    <w:rsid w:val="3FD509A3"/>
    <w:rsid w:val="3FE64227"/>
    <w:rsid w:val="41AA6014"/>
    <w:rsid w:val="41D8103C"/>
    <w:rsid w:val="41E5053F"/>
    <w:rsid w:val="42027EB9"/>
    <w:rsid w:val="424239A9"/>
    <w:rsid w:val="424821FC"/>
    <w:rsid w:val="42823258"/>
    <w:rsid w:val="42913967"/>
    <w:rsid w:val="42BE1B19"/>
    <w:rsid w:val="42CF4BF3"/>
    <w:rsid w:val="43D052C3"/>
    <w:rsid w:val="44D33835"/>
    <w:rsid w:val="44F076FB"/>
    <w:rsid w:val="451B3097"/>
    <w:rsid w:val="4530511F"/>
    <w:rsid w:val="45582F23"/>
    <w:rsid w:val="456E2BE8"/>
    <w:rsid w:val="459301C1"/>
    <w:rsid w:val="46982C05"/>
    <w:rsid w:val="46CB3C59"/>
    <w:rsid w:val="47073D36"/>
    <w:rsid w:val="470D0F7A"/>
    <w:rsid w:val="484843BE"/>
    <w:rsid w:val="48DF2814"/>
    <w:rsid w:val="48EF5784"/>
    <w:rsid w:val="48F84495"/>
    <w:rsid w:val="49C5669E"/>
    <w:rsid w:val="4A522F61"/>
    <w:rsid w:val="4B4F12E8"/>
    <w:rsid w:val="4B7818BD"/>
    <w:rsid w:val="4BA64712"/>
    <w:rsid w:val="4C343A36"/>
    <w:rsid w:val="4C9235C2"/>
    <w:rsid w:val="4CE95407"/>
    <w:rsid w:val="4D0F7FFF"/>
    <w:rsid w:val="4D5A7CC2"/>
    <w:rsid w:val="4DDD0FE7"/>
    <w:rsid w:val="4E2049D1"/>
    <w:rsid w:val="4EA604F0"/>
    <w:rsid w:val="4EC71589"/>
    <w:rsid w:val="4EE1298C"/>
    <w:rsid w:val="4F115D42"/>
    <w:rsid w:val="4F785617"/>
    <w:rsid w:val="50C327DC"/>
    <w:rsid w:val="50E76C7D"/>
    <w:rsid w:val="51625027"/>
    <w:rsid w:val="51A16E16"/>
    <w:rsid w:val="51E91DC0"/>
    <w:rsid w:val="528C28BF"/>
    <w:rsid w:val="52EF6F22"/>
    <w:rsid w:val="53773796"/>
    <w:rsid w:val="537B583E"/>
    <w:rsid w:val="544F10BF"/>
    <w:rsid w:val="55DD0964"/>
    <w:rsid w:val="55E20F7A"/>
    <w:rsid w:val="56A7011A"/>
    <w:rsid w:val="56E40814"/>
    <w:rsid w:val="57710465"/>
    <w:rsid w:val="578135CD"/>
    <w:rsid w:val="57F4493F"/>
    <w:rsid w:val="58766E06"/>
    <w:rsid w:val="58994158"/>
    <w:rsid w:val="58B2401F"/>
    <w:rsid w:val="59AD33BD"/>
    <w:rsid w:val="5A234B74"/>
    <w:rsid w:val="5B7B3CA5"/>
    <w:rsid w:val="5B9131F8"/>
    <w:rsid w:val="5BDA6ABF"/>
    <w:rsid w:val="5BE8574B"/>
    <w:rsid w:val="5C274DA2"/>
    <w:rsid w:val="5CEA2454"/>
    <w:rsid w:val="5CF8229D"/>
    <w:rsid w:val="5E4E2C22"/>
    <w:rsid w:val="5E6F7B32"/>
    <w:rsid w:val="5EB76167"/>
    <w:rsid w:val="5ED726CE"/>
    <w:rsid w:val="5F0945B6"/>
    <w:rsid w:val="5F146879"/>
    <w:rsid w:val="5FC027A2"/>
    <w:rsid w:val="60A91285"/>
    <w:rsid w:val="61DA19C1"/>
    <w:rsid w:val="623E7CE7"/>
    <w:rsid w:val="62916F8B"/>
    <w:rsid w:val="63C04363"/>
    <w:rsid w:val="63CC4937"/>
    <w:rsid w:val="64177DEB"/>
    <w:rsid w:val="64521240"/>
    <w:rsid w:val="64AC6ADF"/>
    <w:rsid w:val="656508BB"/>
    <w:rsid w:val="65A26AE9"/>
    <w:rsid w:val="66897989"/>
    <w:rsid w:val="68142AB8"/>
    <w:rsid w:val="68A43843"/>
    <w:rsid w:val="69027916"/>
    <w:rsid w:val="697C7F91"/>
    <w:rsid w:val="69A17C28"/>
    <w:rsid w:val="6A136636"/>
    <w:rsid w:val="6A1428D4"/>
    <w:rsid w:val="6A365B7C"/>
    <w:rsid w:val="6A4B3B5C"/>
    <w:rsid w:val="6AE06772"/>
    <w:rsid w:val="6B5B2064"/>
    <w:rsid w:val="6B731C4C"/>
    <w:rsid w:val="6C66785E"/>
    <w:rsid w:val="6CA43E69"/>
    <w:rsid w:val="6CC85348"/>
    <w:rsid w:val="6CD2179D"/>
    <w:rsid w:val="6CD406C6"/>
    <w:rsid w:val="6D0B403C"/>
    <w:rsid w:val="6D812EE5"/>
    <w:rsid w:val="6F8A4295"/>
    <w:rsid w:val="6FA2409D"/>
    <w:rsid w:val="71237DFB"/>
    <w:rsid w:val="714F7EB6"/>
    <w:rsid w:val="71A50E49"/>
    <w:rsid w:val="71B97BD3"/>
    <w:rsid w:val="72DE06F7"/>
    <w:rsid w:val="72F709F5"/>
    <w:rsid w:val="73030400"/>
    <w:rsid w:val="73E87C74"/>
    <w:rsid w:val="750755C5"/>
    <w:rsid w:val="7522330A"/>
    <w:rsid w:val="756845CD"/>
    <w:rsid w:val="779A1CF5"/>
    <w:rsid w:val="77FD74CD"/>
    <w:rsid w:val="782F606D"/>
    <w:rsid w:val="78460589"/>
    <w:rsid w:val="78A82101"/>
    <w:rsid w:val="78EB1A45"/>
    <w:rsid w:val="792834A4"/>
    <w:rsid w:val="799936F7"/>
    <w:rsid w:val="79E74405"/>
    <w:rsid w:val="79EA4FB2"/>
    <w:rsid w:val="7A071C52"/>
    <w:rsid w:val="7A4824AF"/>
    <w:rsid w:val="7A6F7527"/>
    <w:rsid w:val="7BC4670D"/>
    <w:rsid w:val="7C4411C4"/>
    <w:rsid w:val="7C4934B3"/>
    <w:rsid w:val="7C7023D7"/>
    <w:rsid w:val="7CDD10B7"/>
    <w:rsid w:val="7D342994"/>
    <w:rsid w:val="7D6B6AB5"/>
    <w:rsid w:val="7D6D504C"/>
    <w:rsid w:val="7D7611DC"/>
    <w:rsid w:val="7DA80A43"/>
    <w:rsid w:val="7DEB4F1E"/>
    <w:rsid w:val="7E152483"/>
    <w:rsid w:val="7EAF18E6"/>
    <w:rsid w:val="7FDA42C7"/>
    <w:rsid w:val="7FE12A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nhideWhenUsed="0" w:uiPriority="0" w:semiHidden="0" w:name="heading 4"/>
    <w:lsdException w:qFormat="1" w:unhideWhenUsed="0" w:uiPriority="0" w:semiHidden="0" w:name="heading 5"/>
    <w:lsdException w:qFormat="1" w:unhideWhenUsed="0" w:uiPriority="9"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qFormat="1" w:unhideWhenUsed="0" w:uiPriority="0" w:semiHidden="0"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nhideWhenUsed="0" w:uiPriority="0" w:semiHidden="0" w:name="HTML Acronym"/>
    <w:lsdException w:uiPriority="99"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99"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cs="Arial" w:eastAsiaTheme="minorEastAsia"/>
      <w:snapToGrid w:val="0"/>
      <w:color w:val="000000"/>
      <w:sz w:val="21"/>
      <w:szCs w:val="21"/>
      <w:lang w:val="en-US" w:eastAsia="zh-CN" w:bidi="ar-SA"/>
    </w:rPr>
  </w:style>
  <w:style w:type="paragraph" w:styleId="3">
    <w:name w:val="heading 1"/>
    <w:basedOn w:val="1"/>
    <w:next w:val="1"/>
    <w:link w:val="70"/>
    <w:qFormat/>
    <w:uiPriority w:val="0"/>
    <w:pPr>
      <w:keepNext/>
      <w:keepLines/>
      <w:spacing w:before="340" w:after="330" w:line="578" w:lineRule="auto"/>
      <w:outlineLvl w:val="0"/>
    </w:pPr>
    <w:rPr>
      <w:b/>
      <w:bCs/>
      <w:kern w:val="44"/>
      <w:sz w:val="44"/>
      <w:szCs w:val="44"/>
    </w:rPr>
  </w:style>
  <w:style w:type="paragraph" w:styleId="4">
    <w:name w:val="heading 2"/>
    <w:basedOn w:val="1"/>
    <w:next w:val="1"/>
    <w:link w:val="53"/>
    <w:unhideWhenUsed/>
    <w:qFormat/>
    <w:uiPriority w:val="0"/>
    <w:pPr>
      <w:spacing w:beforeAutospacing="1" w:afterAutospacing="1"/>
      <w:outlineLvl w:val="1"/>
    </w:pPr>
    <w:rPr>
      <w:rFonts w:hint="eastAsia" w:ascii="宋体" w:hAnsi="宋体" w:eastAsia="宋体" w:cs="Times New Roman"/>
      <w:b/>
      <w:sz w:val="36"/>
      <w:szCs w:val="36"/>
    </w:rPr>
  </w:style>
  <w:style w:type="paragraph" w:styleId="5">
    <w:name w:val="heading 3"/>
    <w:basedOn w:val="1"/>
    <w:next w:val="1"/>
    <w:link w:val="55"/>
    <w:unhideWhenUsed/>
    <w:qFormat/>
    <w:uiPriority w:val="0"/>
    <w:pPr>
      <w:keepNext/>
      <w:widowControl w:val="0"/>
      <w:overflowPunct w:val="0"/>
      <w:ind w:firstLine="640" w:firstLineChars="200"/>
      <w:jc w:val="both"/>
      <w:outlineLvl w:val="2"/>
    </w:pPr>
    <w:rPr>
      <w:rFonts w:hint="eastAsia" w:ascii="仿宋_GB2312" w:hAnsi="仿宋_GB2312" w:eastAsia="仿宋_GB2312" w:cs="Times New Roman"/>
      <w:b/>
      <w:sz w:val="30"/>
      <w:szCs w:val="32"/>
    </w:rPr>
  </w:style>
  <w:style w:type="paragraph" w:styleId="6">
    <w:name w:val="heading 4"/>
    <w:basedOn w:val="1"/>
    <w:next w:val="1"/>
    <w:link w:val="71"/>
    <w:qFormat/>
    <w:uiPriority w:val="0"/>
    <w:pPr>
      <w:keepNext/>
      <w:widowControl w:val="0"/>
      <w:kinsoku/>
      <w:autoSpaceDE/>
      <w:autoSpaceDN/>
      <w:adjustRightInd/>
      <w:spacing w:before="120" w:line="500" w:lineRule="atLeast"/>
      <w:ind w:firstLine="567"/>
      <w:jc w:val="both"/>
      <w:textAlignment w:val="auto"/>
      <w:outlineLvl w:val="3"/>
    </w:pPr>
    <w:rPr>
      <w:rFonts w:ascii="宋体" w:hAnsi="Times New Roman" w:eastAsia="宋体" w:cs="Times New Roman"/>
      <w:b/>
      <w:snapToGrid/>
      <w:color w:val="auto"/>
      <w:kern w:val="52"/>
      <w:sz w:val="27"/>
      <w:szCs w:val="20"/>
    </w:rPr>
  </w:style>
  <w:style w:type="paragraph" w:styleId="7">
    <w:name w:val="heading 5"/>
    <w:basedOn w:val="1"/>
    <w:next w:val="1"/>
    <w:link w:val="72"/>
    <w:qFormat/>
    <w:uiPriority w:val="0"/>
    <w:pPr>
      <w:keepNext/>
      <w:keepLines/>
      <w:widowControl w:val="0"/>
      <w:kinsoku/>
      <w:autoSpaceDE/>
      <w:autoSpaceDN/>
      <w:adjustRightInd/>
      <w:spacing w:line="500" w:lineRule="atLeast"/>
      <w:ind w:firstLine="851"/>
      <w:jc w:val="both"/>
      <w:textAlignment w:val="auto"/>
      <w:outlineLvl w:val="4"/>
    </w:pPr>
    <w:rPr>
      <w:rFonts w:ascii="宋体" w:hAnsi="Times New Roman" w:eastAsia="宋体" w:cs="Times New Roman"/>
      <w:snapToGrid/>
      <w:color w:val="auto"/>
      <w:kern w:val="52"/>
      <w:sz w:val="27"/>
      <w:szCs w:val="20"/>
    </w:rPr>
  </w:style>
  <w:style w:type="paragraph" w:styleId="8">
    <w:name w:val="heading 6"/>
    <w:basedOn w:val="1"/>
    <w:next w:val="1"/>
    <w:link w:val="73"/>
    <w:qFormat/>
    <w:uiPriority w:val="9"/>
    <w:pPr>
      <w:keepNext/>
      <w:keepLines/>
      <w:widowControl w:val="0"/>
      <w:kinsoku/>
      <w:autoSpaceDE/>
      <w:autoSpaceDN/>
      <w:adjustRightInd/>
      <w:spacing w:line="500" w:lineRule="atLeast"/>
      <w:ind w:firstLine="1134"/>
      <w:jc w:val="both"/>
      <w:textAlignment w:val="auto"/>
      <w:outlineLvl w:val="5"/>
    </w:pPr>
    <w:rPr>
      <w:rFonts w:ascii="宋体" w:eastAsia="宋体" w:cs="Times New Roman"/>
      <w:snapToGrid/>
      <w:color w:val="auto"/>
      <w:kern w:val="52"/>
      <w:sz w:val="27"/>
      <w:szCs w:val="20"/>
    </w:rPr>
  </w:style>
  <w:style w:type="paragraph" w:styleId="9">
    <w:name w:val="heading 7"/>
    <w:basedOn w:val="1"/>
    <w:next w:val="1"/>
    <w:link w:val="74"/>
    <w:qFormat/>
    <w:uiPriority w:val="0"/>
    <w:pPr>
      <w:keepNext/>
      <w:keepLines/>
      <w:widowControl w:val="0"/>
      <w:kinsoku/>
      <w:autoSpaceDE/>
      <w:autoSpaceDN/>
      <w:adjustRightInd/>
      <w:spacing w:line="460" w:lineRule="atLeast"/>
      <w:ind w:firstLine="1418"/>
      <w:jc w:val="both"/>
      <w:textAlignment w:val="auto"/>
      <w:outlineLvl w:val="6"/>
    </w:pPr>
    <w:rPr>
      <w:rFonts w:ascii="宋体" w:hAnsi="Times New Roman" w:eastAsia="宋体" w:cs="Times New Roman"/>
      <w:snapToGrid/>
      <w:color w:val="auto"/>
      <w:kern w:val="52"/>
      <w:sz w:val="26"/>
      <w:szCs w:val="20"/>
    </w:rPr>
  </w:style>
  <w:style w:type="paragraph" w:styleId="10">
    <w:name w:val="heading 8"/>
    <w:basedOn w:val="1"/>
    <w:next w:val="1"/>
    <w:link w:val="75"/>
    <w:qFormat/>
    <w:uiPriority w:val="0"/>
    <w:pPr>
      <w:keepNext/>
      <w:keepLines/>
      <w:widowControl w:val="0"/>
      <w:kinsoku/>
      <w:autoSpaceDE/>
      <w:autoSpaceDN/>
      <w:adjustRightInd/>
      <w:spacing w:line="460" w:lineRule="atLeast"/>
      <w:ind w:firstLine="1701"/>
      <w:jc w:val="both"/>
      <w:textAlignment w:val="auto"/>
      <w:outlineLvl w:val="7"/>
    </w:pPr>
    <w:rPr>
      <w:rFonts w:eastAsia="宋体" w:cs="Times New Roman"/>
      <w:snapToGrid/>
      <w:color w:val="auto"/>
      <w:kern w:val="52"/>
      <w:sz w:val="26"/>
      <w:szCs w:val="20"/>
    </w:rPr>
  </w:style>
  <w:style w:type="paragraph" w:styleId="11">
    <w:name w:val="heading 9"/>
    <w:basedOn w:val="1"/>
    <w:next w:val="1"/>
    <w:link w:val="76"/>
    <w:qFormat/>
    <w:uiPriority w:val="0"/>
    <w:pPr>
      <w:keepNext/>
      <w:keepLines/>
      <w:widowControl w:val="0"/>
      <w:kinsoku/>
      <w:autoSpaceDE/>
      <w:autoSpaceDN/>
      <w:adjustRightInd/>
      <w:spacing w:line="460" w:lineRule="atLeast"/>
      <w:ind w:firstLine="1985"/>
      <w:jc w:val="both"/>
      <w:textAlignment w:val="auto"/>
      <w:outlineLvl w:val="8"/>
    </w:pPr>
    <w:rPr>
      <w:rFonts w:eastAsia="宋体" w:cs="Times New Roman"/>
      <w:snapToGrid/>
      <w:color w:val="auto"/>
      <w:kern w:val="52"/>
      <w:sz w:val="26"/>
      <w:szCs w:val="20"/>
    </w:rPr>
  </w:style>
  <w:style w:type="character" w:default="1" w:styleId="38">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pPr>
      <w:tabs>
        <w:tab w:val="right" w:leader="dot" w:pos="8659"/>
      </w:tabs>
      <w:spacing w:line="360" w:lineRule="auto"/>
    </w:pPr>
  </w:style>
  <w:style w:type="paragraph" w:styleId="12">
    <w:name w:val="toc 7"/>
    <w:basedOn w:val="1"/>
    <w:next w:val="1"/>
    <w:qFormat/>
    <w:uiPriority w:val="0"/>
    <w:pPr>
      <w:widowControl w:val="0"/>
      <w:kinsoku/>
      <w:autoSpaceDE/>
      <w:autoSpaceDN/>
      <w:adjustRightInd/>
      <w:snapToGrid/>
      <w:ind w:left="1260"/>
      <w:textAlignment w:val="auto"/>
    </w:pPr>
    <w:rPr>
      <w:rFonts w:ascii="Times New Roman" w:hAnsi="Times New Roman" w:eastAsia="宋体" w:cs="Times New Roman"/>
      <w:snapToGrid/>
      <w:color w:val="auto"/>
      <w:kern w:val="2"/>
      <w:sz w:val="18"/>
      <w:szCs w:val="18"/>
    </w:rPr>
  </w:style>
  <w:style w:type="paragraph" w:styleId="13">
    <w:name w:val="annotation text"/>
    <w:basedOn w:val="1"/>
    <w:link w:val="68"/>
    <w:unhideWhenUsed/>
    <w:qFormat/>
    <w:uiPriority w:val="0"/>
  </w:style>
  <w:style w:type="paragraph" w:styleId="14">
    <w:name w:val="Body Text"/>
    <w:basedOn w:val="1"/>
    <w:link w:val="98"/>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Cs w:val="24"/>
    </w:rPr>
  </w:style>
  <w:style w:type="paragraph" w:styleId="15">
    <w:name w:val="Body Text Indent"/>
    <w:basedOn w:val="1"/>
    <w:next w:val="16"/>
    <w:link w:val="92"/>
    <w:qFormat/>
    <w:uiPriority w:val="0"/>
    <w:pPr>
      <w:widowControl w:val="0"/>
      <w:tabs>
        <w:tab w:val="left" w:pos="720"/>
      </w:tabs>
      <w:kinsoku/>
      <w:autoSpaceDE/>
      <w:autoSpaceDN/>
      <w:adjustRightInd/>
      <w:snapToGrid/>
      <w:spacing w:line="680" w:lineRule="atLeast"/>
      <w:ind w:firstLine="560" w:firstLineChars="200"/>
      <w:jc w:val="both"/>
      <w:textAlignment w:val="auto"/>
    </w:pPr>
    <w:rPr>
      <w:rFonts w:ascii="仿宋_GB2312" w:hAnsi="宋体" w:eastAsia="仿宋_GB2312" w:cs="Times New Roman"/>
      <w:snapToGrid/>
      <w:color w:val="auto"/>
      <w:kern w:val="2"/>
      <w:sz w:val="28"/>
      <w:szCs w:val="30"/>
    </w:rPr>
  </w:style>
  <w:style w:type="paragraph" w:styleId="16">
    <w:name w:val="footer"/>
    <w:basedOn w:val="1"/>
    <w:link w:val="56"/>
    <w:unhideWhenUsed/>
    <w:qFormat/>
    <w:uiPriority w:val="99"/>
    <w:pPr>
      <w:tabs>
        <w:tab w:val="center" w:pos="4153"/>
        <w:tab w:val="right" w:pos="8306"/>
      </w:tabs>
    </w:pPr>
    <w:rPr>
      <w:sz w:val="18"/>
      <w:szCs w:val="18"/>
    </w:rPr>
  </w:style>
  <w:style w:type="paragraph" w:styleId="17">
    <w:name w:val="toc 5"/>
    <w:basedOn w:val="1"/>
    <w:next w:val="1"/>
    <w:qFormat/>
    <w:uiPriority w:val="0"/>
    <w:pPr>
      <w:widowControl w:val="0"/>
      <w:kinsoku/>
      <w:autoSpaceDE/>
      <w:autoSpaceDN/>
      <w:adjustRightInd/>
      <w:snapToGrid/>
      <w:ind w:left="840"/>
      <w:textAlignment w:val="auto"/>
    </w:pPr>
    <w:rPr>
      <w:rFonts w:ascii="Times New Roman" w:hAnsi="Times New Roman" w:eastAsia="宋体" w:cs="Times New Roman"/>
      <w:snapToGrid/>
      <w:color w:val="auto"/>
      <w:kern w:val="2"/>
      <w:sz w:val="18"/>
      <w:szCs w:val="18"/>
    </w:rPr>
  </w:style>
  <w:style w:type="paragraph" w:styleId="18">
    <w:name w:val="toc 3"/>
    <w:basedOn w:val="1"/>
    <w:next w:val="1"/>
    <w:unhideWhenUsed/>
    <w:qFormat/>
    <w:uiPriority w:val="0"/>
    <w:pPr>
      <w:ind w:left="840" w:leftChars="400"/>
    </w:pPr>
  </w:style>
  <w:style w:type="paragraph" w:styleId="19">
    <w:name w:val="Plain Text"/>
    <w:basedOn w:val="1"/>
    <w:link w:val="93"/>
    <w:qFormat/>
    <w:uiPriority w:val="0"/>
    <w:pPr>
      <w:widowControl w:val="0"/>
      <w:kinsoku/>
      <w:autoSpaceDE/>
      <w:autoSpaceDN/>
      <w:adjustRightInd/>
      <w:snapToGrid/>
      <w:jc w:val="both"/>
      <w:textAlignment w:val="auto"/>
    </w:pPr>
    <w:rPr>
      <w:rFonts w:ascii="宋体" w:hAnsi="Courier New" w:eastAsia="宋体" w:cs="Times New Roman"/>
      <w:snapToGrid/>
      <w:color w:val="auto"/>
      <w:kern w:val="2"/>
      <w:szCs w:val="24"/>
    </w:rPr>
  </w:style>
  <w:style w:type="paragraph" w:styleId="20">
    <w:name w:val="List Number 4"/>
    <w:basedOn w:val="1"/>
    <w:qFormat/>
    <w:uiPriority w:val="0"/>
    <w:pPr>
      <w:widowControl w:val="0"/>
      <w:numPr>
        <w:ilvl w:val="0"/>
        <w:numId w:val="1"/>
      </w:numPr>
      <w:kinsoku/>
      <w:autoSpaceDE/>
      <w:autoSpaceDN/>
      <w:adjustRightInd/>
      <w:snapToGrid/>
      <w:jc w:val="both"/>
      <w:textAlignment w:val="auto"/>
    </w:pPr>
    <w:rPr>
      <w:rFonts w:ascii="Times New Roman" w:hAnsi="Times New Roman" w:eastAsia="宋体" w:cs="Times New Roman"/>
      <w:snapToGrid/>
      <w:color w:val="auto"/>
      <w:kern w:val="2"/>
      <w:szCs w:val="24"/>
    </w:rPr>
  </w:style>
  <w:style w:type="paragraph" w:styleId="21">
    <w:name w:val="toc 8"/>
    <w:basedOn w:val="1"/>
    <w:next w:val="1"/>
    <w:qFormat/>
    <w:uiPriority w:val="0"/>
    <w:pPr>
      <w:widowControl w:val="0"/>
      <w:kinsoku/>
      <w:autoSpaceDE/>
      <w:autoSpaceDN/>
      <w:adjustRightInd/>
      <w:snapToGrid/>
      <w:ind w:left="1470"/>
      <w:textAlignment w:val="auto"/>
    </w:pPr>
    <w:rPr>
      <w:rFonts w:ascii="Times New Roman" w:hAnsi="Times New Roman" w:eastAsia="宋体" w:cs="Times New Roman"/>
      <w:snapToGrid/>
      <w:color w:val="auto"/>
      <w:kern w:val="2"/>
      <w:sz w:val="18"/>
      <w:szCs w:val="18"/>
    </w:rPr>
  </w:style>
  <w:style w:type="paragraph" w:styleId="22">
    <w:name w:val="Date"/>
    <w:basedOn w:val="1"/>
    <w:next w:val="1"/>
    <w:link w:val="85"/>
    <w:qFormat/>
    <w:uiPriority w:val="0"/>
    <w:pPr>
      <w:widowControl w:val="0"/>
      <w:kinsoku/>
      <w:autoSpaceDE/>
      <w:autoSpaceDN/>
      <w:adjustRightInd/>
      <w:snapToGrid/>
      <w:ind w:left="100" w:leftChars="2500"/>
      <w:jc w:val="both"/>
      <w:textAlignment w:val="auto"/>
    </w:pPr>
    <w:rPr>
      <w:rFonts w:ascii="Times New Roman" w:hAnsi="Times New Roman" w:eastAsia="宋体" w:cs="Times New Roman"/>
      <w:snapToGrid/>
      <w:color w:val="auto"/>
      <w:sz w:val="20"/>
      <w:szCs w:val="24"/>
    </w:rPr>
  </w:style>
  <w:style w:type="paragraph" w:styleId="23">
    <w:name w:val="Body Text Indent 2"/>
    <w:basedOn w:val="1"/>
    <w:link w:val="94"/>
    <w:qFormat/>
    <w:uiPriority w:val="0"/>
    <w:pPr>
      <w:widowControl w:val="0"/>
      <w:kinsoku/>
      <w:autoSpaceDE/>
      <w:autoSpaceDN/>
      <w:adjustRightInd/>
      <w:snapToGrid/>
      <w:spacing w:line="360" w:lineRule="auto"/>
      <w:ind w:firstLine="640"/>
      <w:jc w:val="both"/>
      <w:textAlignment w:val="auto"/>
    </w:pPr>
    <w:rPr>
      <w:rFonts w:ascii="仿宋_GB2312" w:hAnsi="宋体" w:eastAsia="仿宋_GB2312" w:cs="Times New Roman"/>
      <w:snapToGrid/>
      <w:color w:val="auto"/>
      <w:kern w:val="2"/>
      <w:sz w:val="28"/>
      <w:szCs w:val="30"/>
    </w:rPr>
  </w:style>
  <w:style w:type="paragraph" w:styleId="24">
    <w:name w:val="Balloon Text"/>
    <w:basedOn w:val="1"/>
    <w:link w:val="62"/>
    <w:unhideWhenUsed/>
    <w:qFormat/>
    <w:uiPriority w:val="99"/>
    <w:rPr>
      <w:sz w:val="18"/>
      <w:szCs w:val="18"/>
    </w:rPr>
  </w:style>
  <w:style w:type="paragraph" w:styleId="25">
    <w:name w:val="header"/>
    <w:basedOn w:val="1"/>
    <w:link w:val="54"/>
    <w:unhideWhenUsed/>
    <w:qFormat/>
    <w:uiPriority w:val="99"/>
    <w:pPr>
      <w:pBdr>
        <w:bottom w:val="single" w:color="auto" w:sz="6" w:space="1"/>
      </w:pBdr>
      <w:tabs>
        <w:tab w:val="center" w:pos="4153"/>
        <w:tab w:val="right" w:pos="8306"/>
      </w:tabs>
      <w:jc w:val="center"/>
    </w:pPr>
    <w:rPr>
      <w:sz w:val="18"/>
      <w:szCs w:val="18"/>
    </w:rPr>
  </w:style>
  <w:style w:type="paragraph" w:styleId="26">
    <w:name w:val="toc 4"/>
    <w:basedOn w:val="1"/>
    <w:next w:val="1"/>
    <w:qFormat/>
    <w:uiPriority w:val="0"/>
    <w:pPr>
      <w:widowControl w:val="0"/>
      <w:kinsoku/>
      <w:autoSpaceDE/>
      <w:autoSpaceDN/>
      <w:adjustRightInd/>
      <w:snapToGrid/>
      <w:ind w:left="630"/>
      <w:textAlignment w:val="auto"/>
    </w:pPr>
    <w:rPr>
      <w:rFonts w:ascii="Times New Roman" w:hAnsi="Times New Roman" w:eastAsia="宋体" w:cs="Times New Roman"/>
      <w:snapToGrid/>
      <w:color w:val="auto"/>
      <w:kern w:val="2"/>
      <w:sz w:val="18"/>
      <w:szCs w:val="18"/>
    </w:rPr>
  </w:style>
  <w:style w:type="paragraph" w:styleId="27">
    <w:name w:val="toc 6"/>
    <w:basedOn w:val="1"/>
    <w:next w:val="1"/>
    <w:qFormat/>
    <w:uiPriority w:val="0"/>
    <w:pPr>
      <w:widowControl w:val="0"/>
      <w:kinsoku/>
      <w:autoSpaceDE/>
      <w:autoSpaceDN/>
      <w:adjustRightInd/>
      <w:snapToGrid/>
      <w:ind w:left="1050"/>
      <w:textAlignment w:val="auto"/>
    </w:pPr>
    <w:rPr>
      <w:rFonts w:ascii="Times New Roman" w:hAnsi="Times New Roman" w:eastAsia="宋体" w:cs="Times New Roman"/>
      <w:snapToGrid/>
      <w:color w:val="auto"/>
      <w:kern w:val="2"/>
      <w:sz w:val="18"/>
      <w:szCs w:val="18"/>
    </w:rPr>
  </w:style>
  <w:style w:type="paragraph" w:styleId="28">
    <w:name w:val="Body Text Indent 3"/>
    <w:basedOn w:val="1"/>
    <w:link w:val="99"/>
    <w:qFormat/>
    <w:uiPriority w:val="0"/>
    <w:pPr>
      <w:widowControl w:val="0"/>
      <w:kinsoku/>
      <w:autoSpaceDE/>
      <w:autoSpaceDN/>
      <w:adjustRightInd/>
      <w:snapToGrid/>
      <w:spacing w:after="120"/>
      <w:ind w:left="420" w:leftChars="200"/>
      <w:jc w:val="both"/>
      <w:textAlignment w:val="auto"/>
    </w:pPr>
    <w:rPr>
      <w:rFonts w:ascii="Times New Roman" w:hAnsi="Times New Roman" w:eastAsia="宋体" w:cs="Times New Roman"/>
      <w:snapToGrid/>
      <w:color w:val="auto"/>
      <w:kern w:val="2"/>
      <w:sz w:val="16"/>
      <w:szCs w:val="16"/>
    </w:rPr>
  </w:style>
  <w:style w:type="paragraph" w:styleId="29">
    <w:name w:val="toc 2"/>
    <w:basedOn w:val="1"/>
    <w:next w:val="1"/>
    <w:unhideWhenUsed/>
    <w:qFormat/>
    <w:uiPriority w:val="39"/>
    <w:pPr>
      <w:ind w:left="420" w:leftChars="200"/>
    </w:pPr>
  </w:style>
  <w:style w:type="paragraph" w:styleId="30">
    <w:name w:val="toc 9"/>
    <w:basedOn w:val="1"/>
    <w:next w:val="1"/>
    <w:qFormat/>
    <w:uiPriority w:val="0"/>
    <w:pPr>
      <w:widowControl w:val="0"/>
      <w:kinsoku/>
      <w:autoSpaceDE/>
      <w:autoSpaceDN/>
      <w:adjustRightInd/>
      <w:snapToGrid/>
      <w:ind w:left="1680"/>
      <w:textAlignment w:val="auto"/>
    </w:pPr>
    <w:rPr>
      <w:rFonts w:ascii="Times New Roman" w:hAnsi="Times New Roman" w:eastAsia="宋体" w:cs="Times New Roman"/>
      <w:snapToGrid/>
      <w:color w:val="auto"/>
      <w:kern w:val="2"/>
      <w:sz w:val="18"/>
      <w:szCs w:val="18"/>
    </w:rPr>
  </w:style>
  <w:style w:type="paragraph" w:styleId="31">
    <w:name w:val="HTML Preformatted"/>
    <w:basedOn w:val="1"/>
    <w:link w:val="97"/>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kinsoku/>
      <w:autoSpaceDE/>
      <w:autoSpaceDN/>
      <w:adjustRightInd/>
      <w:snapToGrid/>
      <w:textAlignment w:val="auto"/>
    </w:pPr>
    <w:rPr>
      <w:rFonts w:ascii="宋体" w:hAnsi="宋体" w:eastAsia="宋体" w:cs="Times New Roman"/>
      <w:snapToGrid/>
      <w:color w:val="auto"/>
      <w:kern w:val="2"/>
      <w:szCs w:val="24"/>
    </w:rPr>
  </w:style>
  <w:style w:type="paragraph" w:styleId="32">
    <w:name w:val="Normal (Web)"/>
    <w:basedOn w:val="1"/>
    <w:unhideWhenUsed/>
    <w:qFormat/>
    <w:uiPriority w:val="99"/>
    <w:pPr>
      <w:spacing w:beforeAutospacing="1" w:afterAutospacing="1"/>
    </w:pPr>
    <w:rPr>
      <w:rFonts w:cs="Times New Roman"/>
      <w:sz w:val="24"/>
    </w:rPr>
  </w:style>
  <w:style w:type="paragraph" w:styleId="33">
    <w:name w:val="Title"/>
    <w:basedOn w:val="1"/>
    <w:next w:val="1"/>
    <w:link w:val="117"/>
    <w:qFormat/>
    <w:uiPriority w:val="99"/>
    <w:pPr>
      <w:widowControl w:val="0"/>
      <w:kinsoku/>
      <w:autoSpaceDE/>
      <w:autoSpaceDN/>
      <w:adjustRightInd/>
      <w:snapToGrid/>
      <w:spacing w:line="360" w:lineRule="auto"/>
      <w:textAlignment w:val="auto"/>
      <w:outlineLvl w:val="0"/>
    </w:pPr>
    <w:rPr>
      <w:rFonts w:ascii="Cambria" w:hAnsi="Cambria" w:eastAsia="黑体" w:cs="Times New Roman"/>
      <w:b/>
      <w:bCs/>
      <w:snapToGrid/>
      <w:color w:val="auto"/>
      <w:kern w:val="2"/>
      <w:sz w:val="32"/>
      <w:szCs w:val="32"/>
    </w:rPr>
  </w:style>
  <w:style w:type="paragraph" w:styleId="34">
    <w:name w:val="annotation subject"/>
    <w:basedOn w:val="13"/>
    <w:next w:val="13"/>
    <w:link w:val="69"/>
    <w:unhideWhenUsed/>
    <w:qFormat/>
    <w:uiPriority w:val="0"/>
    <w:rPr>
      <w:b/>
      <w:bCs/>
    </w:rPr>
  </w:style>
  <w:style w:type="paragraph" w:styleId="35">
    <w:name w:val="Body Text First Indent 2"/>
    <w:basedOn w:val="15"/>
    <w:next w:val="1"/>
    <w:link w:val="122"/>
    <w:qFormat/>
    <w:uiPriority w:val="0"/>
    <w:pPr>
      <w:spacing w:before="100" w:beforeAutospacing="1" w:after="120"/>
      <w:ind w:left="200" w:leftChars="200" w:firstLine="200"/>
      <w:jc w:val="left"/>
    </w:pPr>
    <w:rPr>
      <w:rFonts w:hint="eastAsia" w:ascii="Times New Roman" w:hAnsi="Times New Roman"/>
      <w:kern w:val="0"/>
    </w:rPr>
  </w:style>
  <w:style w:type="table" w:styleId="37">
    <w:name w:val="Table Grid"/>
    <w:basedOn w:val="3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9">
    <w:name w:val="Strong"/>
    <w:qFormat/>
    <w:uiPriority w:val="22"/>
    <w:rPr>
      <w:b/>
      <w:bCs/>
    </w:rPr>
  </w:style>
  <w:style w:type="character" w:styleId="40">
    <w:name w:val="page number"/>
    <w:basedOn w:val="38"/>
    <w:qFormat/>
    <w:uiPriority w:val="0"/>
  </w:style>
  <w:style w:type="character" w:styleId="41">
    <w:name w:val="FollowedHyperlink"/>
    <w:qFormat/>
    <w:uiPriority w:val="0"/>
    <w:rPr>
      <w:color w:val="800080"/>
      <w:u w:val="none"/>
    </w:rPr>
  </w:style>
  <w:style w:type="character" w:styleId="42">
    <w:name w:val="Emphasis"/>
    <w:qFormat/>
    <w:uiPriority w:val="0"/>
    <w:rPr>
      <w:b/>
    </w:rPr>
  </w:style>
  <w:style w:type="character" w:styleId="43">
    <w:name w:val="HTML Definition"/>
    <w:qFormat/>
    <w:uiPriority w:val="0"/>
  </w:style>
  <w:style w:type="character" w:styleId="44">
    <w:name w:val="HTML Typewriter"/>
    <w:qFormat/>
    <w:uiPriority w:val="0"/>
    <w:rPr>
      <w:rFonts w:hint="default" w:ascii="monospace" w:hAnsi="monospace" w:eastAsia="monospace" w:cs="monospace"/>
      <w:sz w:val="20"/>
    </w:rPr>
  </w:style>
  <w:style w:type="character" w:styleId="45">
    <w:name w:val="HTML Acronym"/>
    <w:basedOn w:val="38"/>
    <w:qFormat/>
    <w:uiPriority w:val="0"/>
  </w:style>
  <w:style w:type="character" w:styleId="46">
    <w:name w:val="HTML Variable"/>
    <w:qFormat/>
    <w:uiPriority w:val="0"/>
  </w:style>
  <w:style w:type="character" w:styleId="47">
    <w:name w:val="Hyperlink"/>
    <w:basedOn w:val="38"/>
    <w:unhideWhenUsed/>
    <w:qFormat/>
    <w:uiPriority w:val="99"/>
    <w:rPr>
      <w:color w:val="0000FF" w:themeColor="hyperlink"/>
      <w:u w:val="single"/>
      <w14:textFill>
        <w14:solidFill>
          <w14:schemeClr w14:val="hlink"/>
        </w14:solidFill>
      </w14:textFill>
    </w:rPr>
  </w:style>
  <w:style w:type="character" w:styleId="48">
    <w:name w:val="HTML Code"/>
    <w:qFormat/>
    <w:uiPriority w:val="0"/>
    <w:rPr>
      <w:rFonts w:hint="default" w:ascii="monospace" w:hAnsi="monospace" w:eastAsia="monospace" w:cs="monospace"/>
      <w:sz w:val="20"/>
    </w:rPr>
  </w:style>
  <w:style w:type="character" w:styleId="49">
    <w:name w:val="annotation reference"/>
    <w:basedOn w:val="38"/>
    <w:unhideWhenUsed/>
    <w:qFormat/>
    <w:uiPriority w:val="0"/>
    <w:rPr>
      <w:sz w:val="21"/>
      <w:szCs w:val="21"/>
    </w:rPr>
  </w:style>
  <w:style w:type="character" w:styleId="50">
    <w:name w:val="HTML Cite"/>
    <w:qFormat/>
    <w:uiPriority w:val="0"/>
  </w:style>
  <w:style w:type="character" w:styleId="51">
    <w:name w:val="HTML Keyboard"/>
    <w:qFormat/>
    <w:uiPriority w:val="0"/>
    <w:rPr>
      <w:rFonts w:ascii="monospace" w:hAnsi="monospace" w:eastAsia="monospace" w:cs="monospace"/>
      <w:sz w:val="20"/>
    </w:rPr>
  </w:style>
  <w:style w:type="character" w:styleId="52">
    <w:name w:val="HTML Sample"/>
    <w:qFormat/>
    <w:uiPriority w:val="0"/>
    <w:rPr>
      <w:rFonts w:hint="default" w:ascii="monospace" w:hAnsi="monospace" w:eastAsia="monospace" w:cs="monospace"/>
    </w:rPr>
  </w:style>
  <w:style w:type="character" w:customStyle="1" w:styleId="53">
    <w:name w:val="标题 2 字符"/>
    <w:basedOn w:val="38"/>
    <w:link w:val="4"/>
    <w:qFormat/>
    <w:uiPriority w:val="0"/>
    <w:rPr>
      <w:rFonts w:ascii="宋体" w:hAnsi="宋体" w:eastAsia="宋体" w:cs="Times New Roman"/>
      <w:b/>
      <w:snapToGrid w:val="0"/>
      <w:color w:val="000000"/>
      <w:kern w:val="0"/>
      <w:sz w:val="36"/>
      <w:szCs w:val="36"/>
    </w:rPr>
  </w:style>
  <w:style w:type="character" w:customStyle="1" w:styleId="54">
    <w:name w:val="页眉 字符"/>
    <w:basedOn w:val="38"/>
    <w:link w:val="25"/>
    <w:qFormat/>
    <w:uiPriority w:val="99"/>
    <w:rPr>
      <w:rFonts w:ascii="Arial" w:hAnsi="Arial" w:cs="Arial"/>
      <w:snapToGrid w:val="0"/>
      <w:color w:val="000000"/>
      <w:kern w:val="0"/>
      <w:sz w:val="18"/>
      <w:szCs w:val="18"/>
    </w:rPr>
  </w:style>
  <w:style w:type="character" w:customStyle="1" w:styleId="55">
    <w:name w:val="标题 3 字符"/>
    <w:basedOn w:val="38"/>
    <w:link w:val="5"/>
    <w:qFormat/>
    <w:uiPriority w:val="0"/>
    <w:rPr>
      <w:rFonts w:ascii="仿宋_GB2312" w:hAnsi="仿宋_GB2312" w:eastAsia="仿宋_GB2312" w:cs="Times New Roman"/>
      <w:b/>
      <w:snapToGrid w:val="0"/>
      <w:color w:val="000000"/>
      <w:kern w:val="0"/>
      <w:sz w:val="30"/>
      <w:szCs w:val="32"/>
    </w:rPr>
  </w:style>
  <w:style w:type="character" w:customStyle="1" w:styleId="56">
    <w:name w:val="页脚 字符"/>
    <w:basedOn w:val="38"/>
    <w:link w:val="16"/>
    <w:qFormat/>
    <w:uiPriority w:val="99"/>
    <w:rPr>
      <w:rFonts w:ascii="Arial" w:hAnsi="Arial" w:cs="Arial"/>
      <w:snapToGrid w:val="0"/>
      <w:color w:val="000000"/>
      <w:kern w:val="0"/>
      <w:sz w:val="18"/>
      <w:szCs w:val="18"/>
    </w:rPr>
  </w:style>
  <w:style w:type="table" w:customStyle="1" w:styleId="57">
    <w:name w:val="Table Normal"/>
    <w:semiHidden/>
    <w:unhideWhenUsed/>
    <w:qFormat/>
    <w:uiPriority w:val="0"/>
    <w:rPr>
      <w:rFonts w:ascii="Calibri" w:hAnsi="Calibri" w:cs="Calibri"/>
    </w:rPr>
    <w:tblPr>
      <w:tblCellMar>
        <w:top w:w="0" w:type="dxa"/>
        <w:left w:w="0" w:type="dxa"/>
        <w:bottom w:w="0" w:type="dxa"/>
        <w:right w:w="0" w:type="dxa"/>
      </w:tblCellMar>
    </w:tblPr>
  </w:style>
  <w:style w:type="character" w:customStyle="1" w:styleId="58">
    <w:name w:val="font51"/>
    <w:basedOn w:val="38"/>
    <w:qFormat/>
    <w:uiPriority w:val="0"/>
    <w:rPr>
      <w:rFonts w:hint="eastAsia" w:ascii="宋体" w:hAnsi="宋体" w:eastAsia="宋体" w:cs="宋体"/>
      <w:color w:val="auto"/>
      <w:sz w:val="20"/>
      <w:szCs w:val="20"/>
      <w:u w:val="none"/>
    </w:rPr>
  </w:style>
  <w:style w:type="character" w:customStyle="1" w:styleId="59">
    <w:name w:val="font61"/>
    <w:basedOn w:val="38"/>
    <w:qFormat/>
    <w:uiPriority w:val="0"/>
    <w:rPr>
      <w:rFonts w:hint="default" w:ascii="Arial" w:hAnsi="Arial" w:cs="Arial"/>
      <w:color w:val="auto"/>
      <w:sz w:val="20"/>
      <w:szCs w:val="20"/>
      <w:u w:val="none"/>
    </w:rPr>
  </w:style>
  <w:style w:type="character" w:customStyle="1" w:styleId="60">
    <w:name w:val="font31"/>
    <w:basedOn w:val="38"/>
    <w:qFormat/>
    <w:uiPriority w:val="0"/>
    <w:rPr>
      <w:rFonts w:hint="eastAsia" w:ascii="宋体" w:hAnsi="宋体" w:eastAsia="宋体" w:cs="宋体"/>
      <w:color w:val="000000"/>
      <w:sz w:val="28"/>
      <w:szCs w:val="28"/>
      <w:u w:val="none"/>
    </w:rPr>
  </w:style>
  <w:style w:type="paragraph" w:customStyle="1" w:styleId="61">
    <w:name w:val="msolistparagraph"/>
    <w:basedOn w:val="1"/>
    <w:qFormat/>
    <w:uiPriority w:val="0"/>
    <w:pPr>
      <w:widowControl w:val="0"/>
      <w:ind w:firstLine="420" w:firstLineChars="200"/>
      <w:jc w:val="both"/>
    </w:pPr>
    <w:rPr>
      <w:rFonts w:ascii="Calibri" w:hAnsi="Calibri" w:eastAsia="宋体" w:cs="Times New Roman"/>
      <w:kern w:val="2"/>
      <w:szCs w:val="22"/>
    </w:rPr>
  </w:style>
  <w:style w:type="character" w:customStyle="1" w:styleId="62">
    <w:name w:val="批注框文本 字符"/>
    <w:basedOn w:val="38"/>
    <w:link w:val="24"/>
    <w:qFormat/>
    <w:uiPriority w:val="99"/>
    <w:rPr>
      <w:rFonts w:ascii="Arial" w:hAnsi="Arial" w:cs="Arial" w:eastAsiaTheme="minorEastAsia"/>
      <w:snapToGrid w:val="0"/>
      <w:color w:val="000000"/>
      <w:sz w:val="18"/>
      <w:szCs w:val="18"/>
    </w:rPr>
  </w:style>
  <w:style w:type="character" w:customStyle="1" w:styleId="63">
    <w:name w:val="font41"/>
    <w:basedOn w:val="38"/>
    <w:qFormat/>
    <w:uiPriority w:val="0"/>
    <w:rPr>
      <w:rFonts w:hint="eastAsia" w:ascii="宋体" w:hAnsi="宋体" w:eastAsia="宋体" w:cs="宋体"/>
      <w:color w:val="000000"/>
      <w:sz w:val="24"/>
      <w:szCs w:val="24"/>
      <w:u w:val="none"/>
    </w:rPr>
  </w:style>
  <w:style w:type="character" w:customStyle="1" w:styleId="64">
    <w:name w:val="font11"/>
    <w:basedOn w:val="38"/>
    <w:qFormat/>
    <w:uiPriority w:val="0"/>
    <w:rPr>
      <w:rFonts w:hint="eastAsia" w:ascii="黑体" w:hAnsi="宋体" w:eastAsia="黑体" w:cs="黑体"/>
      <w:color w:val="000000"/>
      <w:sz w:val="18"/>
      <w:szCs w:val="18"/>
      <w:u w:val="none"/>
    </w:rPr>
  </w:style>
  <w:style w:type="character" w:customStyle="1" w:styleId="65">
    <w:name w:val="font21"/>
    <w:basedOn w:val="38"/>
    <w:qFormat/>
    <w:uiPriority w:val="0"/>
    <w:rPr>
      <w:rFonts w:ascii="Arial" w:hAnsi="Arial" w:cs="Arial"/>
      <w:color w:val="000000"/>
      <w:sz w:val="18"/>
      <w:szCs w:val="18"/>
      <w:u w:val="none"/>
    </w:rPr>
  </w:style>
  <w:style w:type="character" w:customStyle="1" w:styleId="66">
    <w:name w:val="font01"/>
    <w:basedOn w:val="38"/>
    <w:qFormat/>
    <w:uiPriority w:val="0"/>
    <w:rPr>
      <w:rFonts w:hint="eastAsia" w:ascii="黑体" w:hAnsi="宋体" w:eastAsia="黑体" w:cs="黑体"/>
      <w:b/>
      <w:color w:val="000000"/>
      <w:sz w:val="22"/>
      <w:szCs w:val="22"/>
      <w:u w:val="none"/>
    </w:rPr>
  </w:style>
  <w:style w:type="paragraph" w:styleId="67">
    <w:name w:val="List Paragraph"/>
    <w:basedOn w:val="1"/>
    <w:link w:val="84"/>
    <w:unhideWhenUsed/>
    <w:qFormat/>
    <w:uiPriority w:val="34"/>
    <w:pPr>
      <w:ind w:firstLine="420" w:firstLineChars="200"/>
    </w:pPr>
  </w:style>
  <w:style w:type="character" w:customStyle="1" w:styleId="68">
    <w:name w:val="批注文字 字符"/>
    <w:basedOn w:val="38"/>
    <w:link w:val="13"/>
    <w:qFormat/>
    <w:uiPriority w:val="0"/>
    <w:rPr>
      <w:rFonts w:ascii="Arial" w:hAnsi="Arial" w:cs="Arial" w:eastAsiaTheme="minorEastAsia"/>
      <w:snapToGrid w:val="0"/>
      <w:color w:val="000000"/>
      <w:sz w:val="21"/>
      <w:szCs w:val="21"/>
    </w:rPr>
  </w:style>
  <w:style w:type="character" w:customStyle="1" w:styleId="69">
    <w:name w:val="批注主题 字符"/>
    <w:basedOn w:val="68"/>
    <w:link w:val="34"/>
    <w:qFormat/>
    <w:uiPriority w:val="0"/>
    <w:rPr>
      <w:rFonts w:ascii="Arial" w:hAnsi="Arial" w:cs="Arial" w:eastAsiaTheme="minorEastAsia"/>
      <w:b/>
      <w:bCs/>
      <w:snapToGrid w:val="0"/>
      <w:color w:val="000000"/>
      <w:sz w:val="21"/>
      <w:szCs w:val="21"/>
    </w:rPr>
  </w:style>
  <w:style w:type="character" w:customStyle="1" w:styleId="70">
    <w:name w:val="标题 1 字符"/>
    <w:basedOn w:val="38"/>
    <w:link w:val="3"/>
    <w:qFormat/>
    <w:uiPriority w:val="0"/>
    <w:rPr>
      <w:rFonts w:ascii="Arial" w:hAnsi="Arial" w:cs="Arial" w:eastAsiaTheme="minorEastAsia"/>
      <w:b/>
      <w:bCs/>
      <w:snapToGrid w:val="0"/>
      <w:color w:val="000000"/>
      <w:kern w:val="44"/>
      <w:sz w:val="44"/>
      <w:szCs w:val="44"/>
    </w:rPr>
  </w:style>
  <w:style w:type="character" w:customStyle="1" w:styleId="71">
    <w:name w:val="标题 4 字符"/>
    <w:basedOn w:val="38"/>
    <w:link w:val="6"/>
    <w:qFormat/>
    <w:uiPriority w:val="0"/>
    <w:rPr>
      <w:rFonts w:ascii="宋体"/>
      <w:b/>
      <w:kern w:val="52"/>
      <w:sz w:val="27"/>
    </w:rPr>
  </w:style>
  <w:style w:type="character" w:customStyle="1" w:styleId="72">
    <w:name w:val="标题 5 字符"/>
    <w:basedOn w:val="38"/>
    <w:link w:val="7"/>
    <w:qFormat/>
    <w:uiPriority w:val="0"/>
    <w:rPr>
      <w:rFonts w:ascii="宋体"/>
      <w:kern w:val="52"/>
      <w:sz w:val="27"/>
    </w:rPr>
  </w:style>
  <w:style w:type="character" w:customStyle="1" w:styleId="73">
    <w:name w:val="标题 6 字符"/>
    <w:basedOn w:val="38"/>
    <w:link w:val="8"/>
    <w:qFormat/>
    <w:uiPriority w:val="9"/>
    <w:rPr>
      <w:rFonts w:ascii="宋体" w:hAnsi="Arial"/>
      <w:kern w:val="52"/>
      <w:sz w:val="27"/>
    </w:rPr>
  </w:style>
  <w:style w:type="character" w:customStyle="1" w:styleId="74">
    <w:name w:val="标题 7 字符"/>
    <w:basedOn w:val="38"/>
    <w:link w:val="9"/>
    <w:qFormat/>
    <w:uiPriority w:val="0"/>
    <w:rPr>
      <w:rFonts w:ascii="宋体"/>
      <w:kern w:val="52"/>
      <w:sz w:val="26"/>
    </w:rPr>
  </w:style>
  <w:style w:type="character" w:customStyle="1" w:styleId="75">
    <w:name w:val="标题 8 字符"/>
    <w:basedOn w:val="38"/>
    <w:link w:val="10"/>
    <w:qFormat/>
    <w:uiPriority w:val="0"/>
    <w:rPr>
      <w:rFonts w:ascii="Arial" w:hAnsi="Arial"/>
      <w:kern w:val="52"/>
      <w:sz w:val="26"/>
    </w:rPr>
  </w:style>
  <w:style w:type="character" w:customStyle="1" w:styleId="76">
    <w:name w:val="标题 9 字符"/>
    <w:basedOn w:val="38"/>
    <w:link w:val="11"/>
    <w:qFormat/>
    <w:uiPriority w:val="0"/>
    <w:rPr>
      <w:rFonts w:ascii="Arial" w:hAnsi="Arial"/>
      <w:kern w:val="52"/>
      <w:sz w:val="26"/>
    </w:rPr>
  </w:style>
  <w:style w:type="paragraph" w:customStyle="1" w:styleId="77">
    <w:name w:val="TOC 标题1"/>
    <w:basedOn w:val="3"/>
    <w:next w:val="1"/>
    <w:semiHidden/>
    <w:unhideWhenUsed/>
    <w:qFormat/>
    <w:uiPriority w:val="39"/>
    <w:pPr>
      <w:kinsoku/>
      <w:autoSpaceDE/>
      <w:autoSpaceDN/>
      <w:adjustRightInd/>
      <w:snapToGrid/>
      <w:spacing w:before="480" w:after="0" w:line="276" w:lineRule="auto"/>
      <w:textAlignment w:val="auto"/>
      <w:outlineLvl w:val="9"/>
    </w:pPr>
    <w:rPr>
      <w:rFonts w:asciiTheme="majorHAnsi" w:hAnsiTheme="majorHAnsi" w:eastAsiaTheme="majorEastAsia" w:cstheme="majorBidi"/>
      <w:snapToGrid/>
      <w:color w:val="376092" w:themeColor="accent1" w:themeShade="BF"/>
      <w:kern w:val="0"/>
      <w:sz w:val="28"/>
      <w:szCs w:val="28"/>
    </w:rPr>
  </w:style>
  <w:style w:type="character" w:customStyle="1" w:styleId="78">
    <w:name w:val="layui-layer-tabnow"/>
    <w:qFormat/>
    <w:uiPriority w:val="0"/>
    <w:rPr>
      <w:bdr w:val="single" w:color="CCCCCC" w:sz="6" w:space="0"/>
      <w:shd w:val="clear" w:color="auto" w:fill="FFFFFF"/>
    </w:rPr>
  </w:style>
  <w:style w:type="character" w:customStyle="1" w:styleId="79">
    <w:name w:val="ca-1"/>
    <w:basedOn w:val="38"/>
    <w:qFormat/>
    <w:uiPriority w:val="0"/>
  </w:style>
  <w:style w:type="character" w:customStyle="1" w:styleId="80">
    <w:name w:val="redfilenumber"/>
    <w:basedOn w:val="38"/>
    <w:qFormat/>
    <w:uiPriority w:val="0"/>
    <w:rPr>
      <w:color w:val="BA2636"/>
      <w:sz w:val="18"/>
      <w:szCs w:val="18"/>
    </w:rPr>
  </w:style>
  <w:style w:type="character" w:customStyle="1" w:styleId="81">
    <w:name w:val="*正文 Char"/>
    <w:link w:val="82"/>
    <w:qFormat/>
    <w:locked/>
    <w:uiPriority w:val="0"/>
    <w:rPr>
      <w:rFonts w:ascii="宋体" w:hAnsi="宋体"/>
      <w:sz w:val="22"/>
      <w:szCs w:val="24"/>
    </w:rPr>
  </w:style>
  <w:style w:type="paragraph" w:customStyle="1" w:styleId="82">
    <w:name w:val="*正文"/>
    <w:basedOn w:val="1"/>
    <w:link w:val="81"/>
    <w:qFormat/>
    <w:uiPriority w:val="0"/>
    <w:pPr>
      <w:widowControl w:val="0"/>
      <w:kinsoku/>
      <w:autoSpaceDE/>
      <w:autoSpaceDN/>
      <w:adjustRightInd/>
      <w:snapToGrid/>
      <w:spacing w:line="360" w:lineRule="auto"/>
      <w:ind w:firstLine="200" w:firstLineChars="200"/>
      <w:jc w:val="both"/>
      <w:textAlignment w:val="auto"/>
    </w:pPr>
    <w:rPr>
      <w:rFonts w:ascii="宋体" w:hAnsi="宋体" w:eastAsia="宋体" w:cs="Times New Roman"/>
      <w:snapToGrid/>
      <w:color w:val="auto"/>
      <w:sz w:val="22"/>
      <w:szCs w:val="24"/>
    </w:rPr>
  </w:style>
  <w:style w:type="character" w:customStyle="1" w:styleId="83">
    <w:name w:val="qxdate"/>
    <w:basedOn w:val="38"/>
    <w:qFormat/>
    <w:uiPriority w:val="0"/>
    <w:rPr>
      <w:color w:val="333333"/>
      <w:sz w:val="18"/>
      <w:szCs w:val="18"/>
    </w:rPr>
  </w:style>
  <w:style w:type="character" w:customStyle="1" w:styleId="84">
    <w:name w:val="列表段落 字符"/>
    <w:link w:val="67"/>
    <w:qFormat/>
    <w:locked/>
    <w:uiPriority w:val="34"/>
    <w:rPr>
      <w:rFonts w:ascii="Arial" w:hAnsi="Arial" w:cs="Arial" w:eastAsiaTheme="minorEastAsia"/>
      <w:snapToGrid w:val="0"/>
      <w:color w:val="000000"/>
      <w:sz w:val="21"/>
      <w:szCs w:val="21"/>
    </w:rPr>
  </w:style>
  <w:style w:type="character" w:customStyle="1" w:styleId="85">
    <w:name w:val="日期 字符"/>
    <w:link w:val="22"/>
    <w:qFormat/>
    <w:uiPriority w:val="0"/>
    <w:rPr>
      <w:szCs w:val="24"/>
    </w:rPr>
  </w:style>
  <w:style w:type="character" w:customStyle="1" w:styleId="86">
    <w:name w:val="标题 2 Char1"/>
    <w:qFormat/>
    <w:uiPriority w:val="0"/>
    <w:rPr>
      <w:rFonts w:ascii="Arial" w:hAnsi="Arial" w:eastAsia="黑体"/>
      <w:b/>
      <w:bCs/>
      <w:kern w:val="2"/>
      <w:sz w:val="32"/>
      <w:szCs w:val="32"/>
      <w:lang w:val="en-US" w:eastAsia="zh-CN" w:bidi="ar-SA"/>
    </w:rPr>
  </w:style>
  <w:style w:type="character" w:customStyle="1" w:styleId="87">
    <w:name w:val="gjfg"/>
    <w:basedOn w:val="38"/>
    <w:qFormat/>
    <w:uiPriority w:val="0"/>
  </w:style>
  <w:style w:type="character" w:customStyle="1" w:styleId="88">
    <w:name w:val="redfilefwwh"/>
    <w:basedOn w:val="38"/>
    <w:qFormat/>
    <w:uiPriority w:val="0"/>
    <w:rPr>
      <w:color w:val="BA2636"/>
      <w:sz w:val="18"/>
      <w:szCs w:val="18"/>
    </w:rPr>
  </w:style>
  <w:style w:type="character" w:customStyle="1" w:styleId="89">
    <w:name w:val="first-child"/>
    <w:basedOn w:val="38"/>
    <w:qFormat/>
    <w:uiPriority w:val="0"/>
  </w:style>
  <w:style w:type="character" w:customStyle="1" w:styleId="90">
    <w:name w:val="displayarti"/>
    <w:basedOn w:val="38"/>
    <w:qFormat/>
    <w:uiPriority w:val="0"/>
    <w:rPr>
      <w:color w:val="FFFFFF"/>
      <w:shd w:val="clear" w:color="auto" w:fill="A00000"/>
    </w:rPr>
  </w:style>
  <w:style w:type="character" w:customStyle="1" w:styleId="91">
    <w:name w:val="cfdate"/>
    <w:basedOn w:val="38"/>
    <w:qFormat/>
    <w:uiPriority w:val="0"/>
    <w:rPr>
      <w:color w:val="333333"/>
      <w:sz w:val="18"/>
      <w:szCs w:val="18"/>
    </w:rPr>
  </w:style>
  <w:style w:type="character" w:customStyle="1" w:styleId="92">
    <w:name w:val="正文文本缩进 字符"/>
    <w:basedOn w:val="38"/>
    <w:link w:val="15"/>
    <w:qFormat/>
    <w:uiPriority w:val="0"/>
    <w:rPr>
      <w:rFonts w:ascii="仿宋_GB2312" w:hAnsi="宋体" w:eastAsia="仿宋_GB2312"/>
      <w:kern w:val="2"/>
      <w:sz w:val="28"/>
      <w:szCs w:val="30"/>
    </w:rPr>
  </w:style>
  <w:style w:type="character" w:customStyle="1" w:styleId="93">
    <w:name w:val="纯文本 字符"/>
    <w:basedOn w:val="38"/>
    <w:link w:val="19"/>
    <w:qFormat/>
    <w:uiPriority w:val="0"/>
    <w:rPr>
      <w:rFonts w:ascii="宋体" w:hAnsi="Courier New"/>
      <w:kern w:val="2"/>
      <w:sz w:val="21"/>
      <w:szCs w:val="24"/>
    </w:rPr>
  </w:style>
  <w:style w:type="character" w:customStyle="1" w:styleId="94">
    <w:name w:val="正文文本缩进 2 字符"/>
    <w:basedOn w:val="38"/>
    <w:link w:val="23"/>
    <w:qFormat/>
    <w:uiPriority w:val="0"/>
    <w:rPr>
      <w:rFonts w:ascii="仿宋_GB2312" w:hAnsi="宋体" w:eastAsia="仿宋_GB2312"/>
      <w:kern w:val="2"/>
      <w:sz w:val="28"/>
      <w:szCs w:val="30"/>
    </w:rPr>
  </w:style>
  <w:style w:type="character" w:customStyle="1" w:styleId="95">
    <w:name w:val="日期 字符1"/>
    <w:basedOn w:val="38"/>
    <w:semiHidden/>
    <w:qFormat/>
    <w:uiPriority w:val="99"/>
    <w:rPr>
      <w:rFonts w:ascii="Arial" w:hAnsi="Arial" w:cs="Arial" w:eastAsiaTheme="minorEastAsia"/>
      <w:snapToGrid w:val="0"/>
      <w:color w:val="000000"/>
      <w:sz w:val="21"/>
      <w:szCs w:val="21"/>
    </w:rPr>
  </w:style>
  <w:style w:type="character" w:customStyle="1" w:styleId="96">
    <w:name w:val="日期 Char1"/>
    <w:basedOn w:val="38"/>
    <w:semiHidden/>
    <w:qFormat/>
    <w:uiPriority w:val="99"/>
    <w:rPr>
      <w:rFonts w:ascii="Arial" w:hAnsi="Arial" w:cs="Arial"/>
      <w:snapToGrid w:val="0"/>
      <w:color w:val="000000"/>
      <w:kern w:val="0"/>
      <w:szCs w:val="21"/>
    </w:rPr>
  </w:style>
  <w:style w:type="character" w:customStyle="1" w:styleId="97">
    <w:name w:val="HTML 预设格式 字符"/>
    <w:basedOn w:val="38"/>
    <w:link w:val="31"/>
    <w:qFormat/>
    <w:uiPriority w:val="99"/>
    <w:rPr>
      <w:rFonts w:ascii="宋体" w:hAnsi="宋体"/>
      <w:kern w:val="2"/>
      <w:sz w:val="21"/>
      <w:szCs w:val="24"/>
    </w:rPr>
  </w:style>
  <w:style w:type="character" w:customStyle="1" w:styleId="98">
    <w:name w:val="正文文本 字符"/>
    <w:basedOn w:val="38"/>
    <w:link w:val="14"/>
    <w:qFormat/>
    <w:uiPriority w:val="0"/>
    <w:rPr>
      <w:kern w:val="2"/>
      <w:sz w:val="21"/>
      <w:szCs w:val="24"/>
    </w:rPr>
  </w:style>
  <w:style w:type="character" w:customStyle="1" w:styleId="99">
    <w:name w:val="正文文本缩进 3 字符"/>
    <w:basedOn w:val="38"/>
    <w:link w:val="28"/>
    <w:qFormat/>
    <w:uiPriority w:val="0"/>
    <w:rPr>
      <w:kern w:val="2"/>
      <w:sz w:val="16"/>
      <w:szCs w:val="16"/>
    </w:rPr>
  </w:style>
  <w:style w:type="paragraph" w:customStyle="1" w:styleId="100">
    <w:name w:val="bottom"/>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01">
    <w:name w:val="列出段落1"/>
    <w:basedOn w:val="1"/>
    <w:qFormat/>
    <w:uiPriority w:val="0"/>
    <w:pPr>
      <w:widowControl w:val="0"/>
      <w:kinsoku/>
      <w:autoSpaceDE/>
      <w:autoSpaceDN/>
      <w:adjustRightInd/>
      <w:snapToGrid/>
      <w:ind w:firstLine="420"/>
      <w:jc w:val="both"/>
      <w:textAlignment w:val="auto"/>
    </w:pPr>
    <w:rPr>
      <w:rFonts w:ascii="Times New Roman" w:hAnsi="Times New Roman" w:eastAsia="宋体" w:cs="Times New Roman"/>
      <w:snapToGrid/>
      <w:color w:val="auto"/>
      <w:kern w:val="2"/>
      <w:szCs w:val="20"/>
    </w:rPr>
  </w:style>
  <w:style w:type="paragraph" w:customStyle="1" w:styleId="102">
    <w:name w:val="Char2"/>
    <w:basedOn w:val="1"/>
    <w:qFormat/>
    <w:uiPriority w:val="0"/>
    <w:pPr>
      <w:widowControl w:val="0"/>
      <w:kinsoku/>
      <w:autoSpaceDE/>
      <w:autoSpaceDN/>
      <w:adjustRightInd/>
      <w:snapToGrid/>
      <w:jc w:val="both"/>
      <w:textAlignment w:val="auto"/>
    </w:pPr>
    <w:rPr>
      <w:rFonts w:ascii="Times New Roman" w:hAnsi="Times New Roman" w:eastAsia="宋体" w:cs="Times New Roman"/>
      <w:snapToGrid/>
      <w:color w:val="auto"/>
      <w:kern w:val="2"/>
      <w:szCs w:val="20"/>
    </w:rPr>
  </w:style>
  <w:style w:type="paragraph" w:customStyle="1" w:styleId="103">
    <w:name w:val="Default"/>
    <w:qFormat/>
    <w:uiPriority w:val="99"/>
    <w:pPr>
      <w:widowControl w:val="0"/>
      <w:autoSpaceDE w:val="0"/>
      <w:autoSpaceDN w:val="0"/>
      <w:adjustRightInd w:val="0"/>
    </w:pPr>
    <w:rPr>
      <w:rFonts w:ascii="隶书" w:hAnsi="Times New Roman" w:eastAsia="隶书" w:cs="隶书"/>
      <w:color w:val="000000"/>
      <w:sz w:val="24"/>
      <w:szCs w:val="24"/>
      <w:lang w:val="en-US" w:eastAsia="zh-CN" w:bidi="ar-SA"/>
    </w:rPr>
  </w:style>
  <w:style w:type="paragraph" w:customStyle="1" w:styleId="104">
    <w:name w:val="Char"/>
    <w:basedOn w:val="1"/>
    <w:qFormat/>
    <w:uiPriority w:val="0"/>
    <w:pPr>
      <w:kinsoku/>
      <w:autoSpaceDE/>
      <w:autoSpaceDN/>
      <w:adjustRightInd/>
      <w:snapToGrid/>
      <w:spacing w:after="160" w:line="240" w:lineRule="exact"/>
      <w:textAlignment w:val="auto"/>
    </w:pPr>
    <w:rPr>
      <w:rFonts w:ascii="Verdana" w:hAnsi="Verdana" w:eastAsia="仿宋_GB2312" w:cs="Times New Roman"/>
      <w:snapToGrid/>
      <w:color w:val="auto"/>
      <w:sz w:val="24"/>
      <w:szCs w:val="20"/>
      <w:lang w:eastAsia="en-US"/>
    </w:rPr>
  </w:style>
  <w:style w:type="paragraph" w:customStyle="1" w:styleId="105">
    <w:name w:val="3 Char"/>
    <w:basedOn w:val="1"/>
    <w:qFormat/>
    <w:uiPriority w:val="0"/>
    <w:pPr>
      <w:kinsoku/>
      <w:autoSpaceDE/>
      <w:autoSpaceDN/>
      <w:adjustRightInd/>
      <w:snapToGrid/>
      <w:spacing w:line="400" w:lineRule="exact"/>
      <w:jc w:val="center"/>
      <w:textAlignment w:val="auto"/>
    </w:pPr>
    <w:rPr>
      <w:rFonts w:ascii="Verdana" w:hAnsi="Verdana" w:eastAsia="宋体" w:cs="Times New Roman"/>
      <w:snapToGrid/>
      <w:color w:val="auto"/>
      <w:szCs w:val="20"/>
      <w:lang w:eastAsia="en-US"/>
    </w:rPr>
  </w:style>
  <w:style w:type="paragraph" w:customStyle="1" w:styleId="106">
    <w:name w:val="正文 New New New New"/>
    <w:qFormat/>
    <w:uiPriority w:val="0"/>
    <w:pPr>
      <w:widowControl w:val="0"/>
      <w:jc w:val="both"/>
    </w:pPr>
    <w:rPr>
      <w:rFonts w:ascii="Times New Roman" w:hAnsi="Times New Roman" w:eastAsia="宋体" w:cs="Times New Roman"/>
      <w:szCs w:val="24"/>
      <w:lang w:val="en-US" w:eastAsia="zh-CN" w:bidi="ar-SA"/>
    </w:rPr>
  </w:style>
  <w:style w:type="paragraph" w:customStyle="1" w:styleId="107">
    <w:name w:val="修订1"/>
    <w:hidden/>
    <w:semiHidden/>
    <w:qFormat/>
    <w:uiPriority w:val="99"/>
    <w:rPr>
      <w:rFonts w:ascii="Arial" w:hAnsi="Arial" w:cs="Arial" w:eastAsiaTheme="minorEastAsia"/>
      <w:snapToGrid w:val="0"/>
      <w:color w:val="000000"/>
      <w:sz w:val="21"/>
      <w:szCs w:val="21"/>
      <w:lang w:val="en-US" w:eastAsia="zh-CN" w:bidi="ar-SA"/>
    </w:rPr>
  </w:style>
  <w:style w:type="paragraph" w:customStyle="1" w:styleId="108">
    <w:name w:val="WPSOffice手动目录 1"/>
    <w:qFormat/>
    <w:uiPriority w:val="0"/>
    <w:rPr>
      <w:rFonts w:ascii="Times New Roman" w:hAnsi="Times New Roman" w:eastAsia="宋体" w:cs="Times New Roman"/>
      <w:lang w:val="en-US" w:eastAsia="zh-CN" w:bidi="ar-SA"/>
    </w:rPr>
  </w:style>
  <w:style w:type="paragraph" w:customStyle="1" w:styleId="109">
    <w:name w:val="Heading #3|1"/>
    <w:basedOn w:val="1"/>
    <w:qFormat/>
    <w:uiPriority w:val="0"/>
    <w:pPr>
      <w:widowControl w:val="0"/>
      <w:spacing w:after="540" w:line="587" w:lineRule="exact"/>
      <w:jc w:val="center"/>
      <w:outlineLvl w:val="2"/>
    </w:pPr>
    <w:rPr>
      <w:rFonts w:ascii="宋体" w:hAnsi="宋体" w:eastAsia="宋体" w:cs="宋体"/>
      <w:sz w:val="42"/>
      <w:szCs w:val="42"/>
      <w:lang w:val="zh-TW" w:eastAsia="zh-TW" w:bidi="zh-TW"/>
    </w:rPr>
  </w:style>
  <w:style w:type="paragraph" w:customStyle="1" w:styleId="110">
    <w:name w:val="Other|1"/>
    <w:basedOn w:val="1"/>
    <w:qFormat/>
    <w:uiPriority w:val="0"/>
    <w:pPr>
      <w:widowControl w:val="0"/>
      <w:spacing w:line="396" w:lineRule="auto"/>
      <w:ind w:firstLine="400"/>
    </w:pPr>
    <w:rPr>
      <w:rFonts w:ascii="宋体" w:hAnsi="宋体" w:eastAsia="宋体" w:cs="宋体"/>
      <w:sz w:val="30"/>
      <w:szCs w:val="30"/>
      <w:lang w:val="zh-TW" w:eastAsia="zh-TW" w:bidi="zh-TW"/>
    </w:rPr>
  </w:style>
  <w:style w:type="paragraph" w:customStyle="1" w:styleId="111">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112">
    <w:name w:val="WPSOffice手动目录 3"/>
    <w:qFormat/>
    <w:uiPriority w:val="0"/>
    <w:pPr>
      <w:ind w:left="400" w:leftChars="400"/>
    </w:pPr>
    <w:rPr>
      <w:rFonts w:ascii="Times New Roman" w:hAnsi="Times New Roman" w:eastAsia="宋体" w:cs="Times New Roman"/>
      <w:lang w:val="en-US" w:eastAsia="zh-CN" w:bidi="ar-SA"/>
    </w:rPr>
  </w:style>
  <w:style w:type="character" w:customStyle="1" w:styleId="113">
    <w:name w:val="font91"/>
    <w:basedOn w:val="38"/>
    <w:qFormat/>
    <w:uiPriority w:val="0"/>
    <w:rPr>
      <w:rFonts w:ascii="Arial" w:hAnsi="Arial" w:cs="Arial"/>
      <w:color w:val="000000"/>
      <w:sz w:val="20"/>
      <w:szCs w:val="20"/>
      <w:u w:val="none"/>
    </w:rPr>
  </w:style>
  <w:style w:type="character" w:customStyle="1" w:styleId="114">
    <w:name w:val="font101"/>
    <w:basedOn w:val="38"/>
    <w:qFormat/>
    <w:uiPriority w:val="0"/>
    <w:rPr>
      <w:rFonts w:ascii="Calibri" w:hAnsi="Calibri" w:cs="Calibri"/>
      <w:color w:val="000000"/>
      <w:sz w:val="20"/>
      <w:szCs w:val="20"/>
      <w:u w:val="none"/>
    </w:rPr>
  </w:style>
  <w:style w:type="paragraph" w:customStyle="1" w:styleId="115">
    <w:name w:val="Header or footer|2"/>
    <w:basedOn w:val="1"/>
    <w:qFormat/>
    <w:uiPriority w:val="0"/>
    <w:pPr>
      <w:widowControl w:val="0"/>
      <w:kinsoku/>
      <w:autoSpaceDE/>
      <w:autoSpaceDN/>
      <w:adjustRightInd/>
      <w:snapToGrid/>
      <w:jc w:val="both"/>
      <w:textAlignment w:val="auto"/>
    </w:pPr>
    <w:rPr>
      <w:rFonts w:ascii="Calibri" w:hAnsi="Calibri" w:eastAsia="宋体" w:cs="Times New Roman"/>
      <w:snapToGrid/>
      <w:color w:val="auto"/>
      <w:kern w:val="2"/>
      <w:sz w:val="20"/>
      <w:szCs w:val="20"/>
      <w:lang w:val="zh-TW" w:eastAsia="zh-TW" w:bidi="zh-TW"/>
    </w:rPr>
  </w:style>
  <w:style w:type="paragraph" w:customStyle="1" w:styleId="116">
    <w:name w:val="Body text|1"/>
    <w:basedOn w:val="1"/>
    <w:qFormat/>
    <w:uiPriority w:val="0"/>
    <w:pPr>
      <w:widowControl w:val="0"/>
      <w:kinsoku/>
      <w:autoSpaceDE/>
      <w:autoSpaceDN/>
      <w:adjustRightInd/>
      <w:snapToGrid/>
      <w:spacing w:line="403" w:lineRule="auto"/>
      <w:ind w:firstLine="400"/>
      <w:jc w:val="both"/>
      <w:textAlignment w:val="auto"/>
    </w:pPr>
    <w:rPr>
      <w:rFonts w:ascii="宋体" w:hAnsi="宋体" w:eastAsia="宋体" w:cs="宋体"/>
      <w:snapToGrid/>
      <w:color w:val="auto"/>
      <w:kern w:val="2"/>
      <w:sz w:val="28"/>
      <w:szCs w:val="28"/>
      <w:lang w:val="zh-TW" w:eastAsia="zh-TW" w:bidi="zh-TW"/>
    </w:rPr>
  </w:style>
  <w:style w:type="character" w:customStyle="1" w:styleId="117">
    <w:name w:val="标题 字符"/>
    <w:basedOn w:val="38"/>
    <w:link w:val="33"/>
    <w:qFormat/>
    <w:uiPriority w:val="99"/>
    <w:rPr>
      <w:rFonts w:ascii="Cambria" w:hAnsi="Cambria" w:eastAsia="黑体"/>
      <w:b/>
      <w:bCs/>
      <w:kern w:val="2"/>
      <w:sz w:val="32"/>
      <w:szCs w:val="32"/>
    </w:rPr>
  </w:style>
  <w:style w:type="character" w:customStyle="1" w:styleId="118">
    <w:name w:val="cf01"/>
    <w:qFormat/>
    <w:uiPriority w:val="0"/>
    <w:rPr>
      <w:rFonts w:hint="eastAsia" w:ascii="Microsoft YaHei UI" w:hAnsi="Microsoft YaHei UI" w:eastAsia="Microsoft YaHei UI"/>
      <w:sz w:val="18"/>
      <w:szCs w:val="18"/>
    </w:rPr>
  </w:style>
  <w:style w:type="paragraph" w:customStyle="1" w:styleId="119">
    <w:name w:val="p"/>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20">
    <w:name w:val="newstyle19"/>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paragraph" w:customStyle="1" w:styleId="121">
    <w:name w:val="ariafocus"/>
    <w:basedOn w:val="1"/>
    <w:qFormat/>
    <w:uiPriority w:val="0"/>
    <w:pPr>
      <w:kinsoku/>
      <w:autoSpaceDE/>
      <w:autoSpaceDN/>
      <w:adjustRightInd/>
      <w:snapToGrid/>
      <w:spacing w:before="100" w:beforeAutospacing="1" w:after="100" w:afterAutospacing="1"/>
      <w:textAlignment w:val="auto"/>
    </w:pPr>
    <w:rPr>
      <w:rFonts w:ascii="宋体" w:hAnsi="宋体" w:eastAsia="宋体" w:cs="宋体"/>
      <w:snapToGrid/>
      <w:color w:val="auto"/>
      <w:sz w:val="24"/>
      <w:szCs w:val="24"/>
    </w:rPr>
  </w:style>
  <w:style w:type="character" w:customStyle="1" w:styleId="122">
    <w:name w:val="正文文本首行缩进 2 字符"/>
    <w:link w:val="35"/>
    <w:qFormat/>
    <w:uiPriority w:val="0"/>
    <w:rPr>
      <w:rFonts w:eastAsia="仿宋_GB2312"/>
      <w:sz w:val="28"/>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24</Pages>
  <Words>5956</Words>
  <Characters>6318</Characters>
  <Lines>183</Lines>
  <Paragraphs>51</Paragraphs>
  <TotalTime>10</TotalTime>
  <ScaleCrop>false</ScaleCrop>
  <LinksUpToDate>false</LinksUpToDate>
  <CharactersWithSpaces>6422</CharactersWithSpaces>
  <Application>WPS Office_11.1.0.9513_F1E327BC-269C-435d-A152-05C5408002CA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2020-12-04T01:01:00Z</dcterms:created>
  <dc:creator>孙孙</dc:creator>
  <cp:lastModifiedBy>办公室/孙德婧</cp:lastModifiedBy>
  <cp:lastPrinted>2021-01-06T03:15:00Z</cp:lastPrinted>
  <dcterms:modified xsi:type="dcterms:W3CDTF">2025-08-21T08:15:59Z</dcterms:modified>
  <cp:revision>204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2052-11.1.0.9513</vt:lpwstr>
  </property>
  <property fmtid="{D5CDD505-2E9C-101B-9397-08002B2CF9AE}" pid="3" name="ICV">
    <vt:lpwstr>69E83AE36F4D419EB3186F43A18E5A45_13</vt:lpwstr>
  </property>
  <property fmtid="{D5CDD505-2E9C-101B-9397-08002B2CF9AE}" pid="4" name="KSOTemplateDocerSaveRecord">
    <vt:lpwstr>eyJoZGlkIjoiYjJjOTQxYzhjODMyMDAzZmE0MDJkMWFkNmJlNDkwYTUiLCJ1c2VySWQiOiIzNzExNzM3NzgifQ==</vt:lpwstr>
  </property>
</Properties>
</file>