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b/>
          <w:color w:val="auto"/>
          <w:sz w:val="40"/>
          <w:szCs w:val="40"/>
        </w:rPr>
      </w:pPr>
    </w:p>
    <w:p>
      <w:pPr>
        <w:jc w:val="both"/>
        <w:rPr>
          <w:rFonts w:hint="eastAsia" w:ascii="仿宋" w:hAnsi="仿宋" w:eastAsia="仿宋"/>
          <w:b/>
          <w:color w:val="auto"/>
          <w:sz w:val="40"/>
          <w:szCs w:val="40"/>
        </w:rPr>
      </w:pPr>
    </w:p>
    <w:p>
      <w:pPr>
        <w:widowControl w:val="0"/>
        <w:kinsoku/>
        <w:adjustRightInd/>
        <w:snapToGrid/>
        <w:spacing w:line="1200" w:lineRule="exact"/>
        <w:jc w:val="center"/>
        <w:textAlignment w:val="auto"/>
        <w:rPr>
          <w:rFonts w:hint="eastAsia" w:ascii="黑体" w:hAnsi="黑体" w:eastAsia="黑体" w:cs="黑体"/>
          <w:b/>
          <w:snapToGrid/>
          <w:color w:val="000000" w:themeColor="text1"/>
          <w:sz w:val="44"/>
          <w:szCs w:val="44"/>
          <w:lang w:val="en-US" w:bidi="zh-CN"/>
          <w14:textFill>
            <w14:solidFill>
              <w14:schemeClr w14:val="tx1"/>
            </w14:solidFill>
          </w14:textFill>
        </w:rPr>
      </w:pPr>
      <w:r>
        <w:rPr>
          <w:rFonts w:hint="eastAsia" w:ascii="黑体" w:hAnsi="黑体" w:eastAsia="黑体" w:cs="黑体"/>
          <w:b/>
          <w:snapToGrid/>
          <w:color w:val="000000" w:themeColor="text1"/>
          <w:sz w:val="44"/>
          <w:szCs w:val="44"/>
          <w:lang w:val="en-US" w:bidi="zh-CN"/>
          <w14:textFill>
            <w14:solidFill>
              <w14:schemeClr w14:val="tx1"/>
            </w14:solidFill>
          </w14:textFill>
        </w:rPr>
        <w:t>2023年度福州市仓山区</w:t>
      </w:r>
      <w:bookmarkStart w:id="97" w:name="_GoBack"/>
      <w:r>
        <w:rPr>
          <w:rFonts w:hint="eastAsia" w:ascii="黑体" w:hAnsi="黑体" w:eastAsia="黑体" w:cs="黑体"/>
          <w:b/>
          <w:snapToGrid/>
          <w:color w:val="000000" w:themeColor="text1"/>
          <w:sz w:val="44"/>
          <w:szCs w:val="44"/>
          <w:lang w:val="en-US" w:bidi="zh-CN"/>
          <w14:textFill>
            <w14:solidFill>
              <w14:schemeClr w14:val="tx1"/>
            </w14:solidFill>
          </w14:textFill>
        </w:rPr>
        <w:t>卫生健康服务能力提升项目（债券资金）支出绩效评价报告</w:t>
      </w:r>
    </w:p>
    <w:bookmarkEnd w:id="97"/>
    <w:p>
      <w:pPr>
        <w:spacing w:line="480" w:lineRule="auto"/>
        <w:jc w:val="center"/>
        <w:rPr>
          <w:rFonts w:hint="eastAsia" w:ascii="黑体" w:hAnsi="黑体" w:eastAsia="黑体" w:cs="宋体"/>
          <w:b/>
          <w:bCs/>
          <w:color w:val="auto"/>
          <w:sz w:val="36"/>
          <w:szCs w:val="36"/>
          <w:lang w:val="en-US" w:eastAsia="zh-CN"/>
        </w:rPr>
      </w:pPr>
    </w:p>
    <w:p>
      <w:pPr>
        <w:spacing w:line="480" w:lineRule="auto"/>
        <w:jc w:val="center"/>
        <w:rPr>
          <w:rFonts w:hint="default" w:ascii="黑体" w:hAnsi="黑体" w:eastAsia="黑体" w:cs="宋体"/>
          <w:b/>
          <w:bCs/>
          <w:color w:val="auto"/>
          <w:sz w:val="36"/>
          <w:szCs w:val="36"/>
          <w:lang w:val="en-US" w:eastAsia="zh-CN"/>
        </w:rPr>
      </w:pPr>
      <w:r>
        <w:rPr>
          <w:rFonts w:hint="eastAsia" w:ascii="黑体" w:hAnsi="黑体" w:eastAsia="黑体" w:cs="宋体"/>
          <w:b/>
          <w:bCs/>
          <w:color w:val="auto"/>
          <w:sz w:val="36"/>
          <w:szCs w:val="36"/>
          <w:lang w:val="en-US" w:eastAsia="zh-CN"/>
        </w:rPr>
        <w:t xml:space="preserve">                          </w:t>
      </w:r>
    </w:p>
    <w:p>
      <w:pPr>
        <w:jc w:val="both"/>
        <w:rPr>
          <w:rFonts w:hint="eastAsia" w:ascii="仿宋" w:hAnsi="仿宋" w:eastAsia="仿宋"/>
          <w:color w:val="auto"/>
        </w:rPr>
      </w:pPr>
    </w:p>
    <w:p>
      <w:pPr>
        <w:spacing w:line="600" w:lineRule="exact"/>
        <w:jc w:val="both"/>
        <w:rPr>
          <w:rFonts w:hint="eastAsia" w:ascii="仿宋" w:hAnsi="仿宋" w:eastAsia="仿宋"/>
          <w:color w:val="auto"/>
        </w:rPr>
      </w:pPr>
    </w:p>
    <w:p/>
    <w:p>
      <w:pPr>
        <w:pStyle w:val="35"/>
        <w:ind w:left="0" w:leftChars="0" w:firstLine="0" w:firstLineChars="0"/>
        <w:rPr>
          <w:rFonts w:hint="default"/>
        </w:rPr>
      </w:pPr>
    </w:p>
    <w:p>
      <w:pPr>
        <w:pStyle w:val="35"/>
        <w:ind w:left="0" w:leftChars="0" w:firstLine="0" w:firstLineChars="0"/>
        <w:rPr>
          <w:rFonts w:hint="default"/>
        </w:rPr>
      </w:pPr>
    </w:p>
    <w:p>
      <w:pPr>
        <w:spacing w:line="360" w:lineRule="auto"/>
        <w:rPr>
          <w:rFonts w:hint="eastAsia" w:ascii="仿宋" w:hAnsi="仿宋" w:eastAsia="仿宋" w:cs="仿宋"/>
          <w:color w:val="auto"/>
          <w:spacing w:val="-3"/>
          <w:sz w:val="32"/>
          <w:szCs w:val="32"/>
        </w:rPr>
      </w:pPr>
      <w:r>
        <w:rPr>
          <w:rFonts w:hint="eastAsia" w:ascii="仿宋" w:hAnsi="仿宋" w:eastAsia="仿宋" w:cs="仿宋"/>
          <w:color w:val="auto"/>
          <w:spacing w:val="-3"/>
          <w:sz w:val="32"/>
          <w:szCs w:val="32"/>
        </w:rPr>
        <w:t>项目名称：2023年度福州市仓山区卫生健康服务能力提升</w:t>
      </w:r>
    </w:p>
    <w:p>
      <w:pPr>
        <w:spacing w:line="360" w:lineRule="auto"/>
        <w:ind w:firstLine="1570" w:firstLineChars="500"/>
        <w:rPr>
          <w:rFonts w:hint="eastAsia" w:ascii="仿宋" w:hAnsi="仿宋" w:eastAsia="仿宋" w:cs="仿宋"/>
          <w:color w:val="auto"/>
          <w:spacing w:val="-3"/>
          <w:sz w:val="32"/>
          <w:szCs w:val="32"/>
        </w:rPr>
      </w:pPr>
      <w:r>
        <w:rPr>
          <w:rFonts w:hint="eastAsia" w:ascii="仿宋" w:hAnsi="仿宋" w:eastAsia="仿宋" w:cs="仿宋"/>
          <w:color w:val="auto"/>
          <w:spacing w:val="-3"/>
          <w:sz w:val="32"/>
          <w:szCs w:val="32"/>
        </w:rPr>
        <w:t>项目（债券资金）</w:t>
      </w:r>
    </w:p>
    <w:p>
      <w:pPr>
        <w:spacing w:before="99" w:line="360" w:lineRule="auto"/>
        <w:ind w:right="1828"/>
        <w:rPr>
          <w:rFonts w:hint="eastAsia" w:ascii="仿宋" w:hAnsi="仿宋" w:eastAsia="仿宋" w:cs="仿宋"/>
          <w:color w:val="auto"/>
          <w:spacing w:val="-1"/>
          <w:sz w:val="32"/>
          <w:szCs w:val="32"/>
        </w:rPr>
      </w:pPr>
      <w:r>
        <w:rPr>
          <w:rFonts w:hint="eastAsia" w:ascii="仿宋" w:hAnsi="仿宋" w:eastAsia="仿宋" w:cs="仿宋"/>
          <w:color w:val="auto"/>
          <w:spacing w:val="-2"/>
          <w:sz w:val="32"/>
          <w:szCs w:val="32"/>
        </w:rPr>
        <w:t>委托单位：</w:t>
      </w:r>
      <w:r>
        <w:rPr>
          <w:rFonts w:hint="eastAsia" w:ascii="仿宋" w:hAnsi="仿宋" w:eastAsia="仿宋" w:cs="仿宋"/>
          <w:color w:val="auto"/>
          <w:spacing w:val="-1"/>
          <w:sz w:val="32"/>
          <w:szCs w:val="32"/>
        </w:rPr>
        <w:t>福州市仓山区财政局</w:t>
      </w:r>
    </w:p>
    <w:p>
      <w:pPr>
        <w:spacing w:before="99" w:line="360" w:lineRule="auto"/>
        <w:ind w:right="1828"/>
        <w:rPr>
          <w:rFonts w:hint="eastAsia" w:ascii="仿宋" w:hAnsi="仿宋" w:eastAsia="仿宋" w:cs="仿宋"/>
          <w:color w:val="auto"/>
          <w:spacing w:val="-1"/>
          <w:sz w:val="32"/>
          <w:szCs w:val="32"/>
        </w:rPr>
      </w:pPr>
      <w:r>
        <w:rPr>
          <w:rFonts w:hint="eastAsia" w:ascii="仿宋" w:hAnsi="仿宋" w:eastAsia="仿宋" w:cs="仿宋"/>
          <w:color w:val="auto"/>
          <w:spacing w:val="-3"/>
          <w:sz w:val="32"/>
          <w:szCs w:val="32"/>
        </w:rPr>
        <w:t>项目负责单位：</w:t>
      </w:r>
      <w:r>
        <w:rPr>
          <w:rFonts w:hint="eastAsia" w:ascii="仿宋" w:hAnsi="仿宋" w:eastAsia="仿宋" w:cs="仿宋"/>
          <w:color w:val="auto"/>
          <w:spacing w:val="-1"/>
          <w:sz w:val="32"/>
          <w:szCs w:val="32"/>
        </w:rPr>
        <w:t>福州市仓山区卫生健康局</w:t>
      </w:r>
    </w:p>
    <w:p>
      <w:pPr>
        <w:spacing w:before="97" w:line="360" w:lineRule="auto"/>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评价机构：福建金财恒效咨询有限公司</w:t>
      </w:r>
    </w:p>
    <w:p>
      <w:pPr>
        <w:spacing w:before="99" w:line="360" w:lineRule="auto"/>
        <w:ind w:right="1828"/>
        <w:rPr>
          <w:rFonts w:hint="default" w:eastAsia="仿宋"/>
          <w:lang w:val="en-US" w:eastAsia="zh-CN"/>
        </w:rPr>
      </w:pPr>
      <w:r>
        <w:rPr>
          <w:rFonts w:hint="eastAsia" w:ascii="仿宋" w:hAnsi="仿宋" w:eastAsia="仿宋" w:cs="仿宋"/>
          <w:color w:val="auto"/>
          <w:spacing w:val="-3"/>
          <w:sz w:val="32"/>
          <w:szCs w:val="32"/>
        </w:rPr>
        <w:t>报告日期：2024年12月</w:t>
      </w:r>
      <w:r>
        <w:rPr>
          <w:rFonts w:hint="eastAsia" w:ascii="仿宋" w:hAnsi="仿宋" w:eastAsia="仿宋" w:cs="仿宋"/>
          <w:color w:val="auto"/>
          <w:spacing w:val="-3"/>
          <w:sz w:val="32"/>
          <w:szCs w:val="32"/>
          <w:lang w:val="en-US" w:eastAsia="zh-CN"/>
        </w:rPr>
        <w:t>27日</w:t>
      </w:r>
    </w:p>
    <w:sdt>
      <w:sdtPr>
        <w:rPr>
          <w:rFonts w:ascii="宋体" w:hAnsi="宋体" w:eastAsia="宋体"/>
          <w:color w:val="auto"/>
        </w:rPr>
        <w:id w:val="147457385"/>
        <w15:color w:val="DBDBDB"/>
        <w:docPartObj>
          <w:docPartGallery w:val="Table of Contents"/>
          <w:docPartUnique/>
        </w:docPartObj>
      </w:sdtPr>
      <w:sdtEndPr>
        <w:rPr>
          <w:rFonts w:ascii="宋体" w:hAnsi="宋体" w:eastAsia="宋体"/>
          <w:color w:val="auto"/>
        </w:rPr>
      </w:sdtEndPr>
      <w:sdtContent>
        <w:p>
          <w:pPr>
            <w:spacing w:line="360" w:lineRule="auto"/>
            <w:jc w:val="both"/>
            <w:rPr>
              <w:rFonts w:hint="eastAsia" w:ascii="仿宋" w:hAnsi="仿宋" w:eastAsia="仿宋"/>
              <w:b/>
              <w:color w:val="auto"/>
              <w:sz w:val="32"/>
              <w:szCs w:val="32"/>
            </w:rPr>
            <w:sectPr>
              <w:footerReference r:id="rId3" w:type="default"/>
              <w:pgSz w:w="11906" w:h="16838"/>
              <w:pgMar w:top="1440" w:right="1800" w:bottom="1440" w:left="1800" w:header="851" w:footer="992" w:gutter="0"/>
              <w:pgNumType w:start="1"/>
              <w:cols w:space="425" w:num="1"/>
              <w:docGrid w:type="lines" w:linePitch="312" w:charSpace="0"/>
            </w:sectPr>
          </w:pPr>
        </w:p>
      </w:sdtContent>
    </w:sdt>
    <w:p>
      <w:pPr>
        <w:pStyle w:val="32"/>
        <w:spacing w:beforeAutospacing="0" w:afterAutospacing="0" w:line="520" w:lineRule="exact"/>
        <w:ind w:firstLine="560" w:firstLineChars="200"/>
        <w:jc w:val="both"/>
        <w:rPr>
          <w:rFonts w:hint="eastAsia" w:ascii="仿宋" w:hAnsi="仿宋" w:eastAsia="仿宋"/>
          <w:color w:val="auto"/>
          <w:kern w:val="2"/>
          <w:sz w:val="28"/>
          <w:szCs w:val="28"/>
        </w:rPr>
      </w:pPr>
      <w:bookmarkStart w:id="0" w:name="_Toc25665"/>
      <w:bookmarkStart w:id="1" w:name="_Toc27585"/>
      <w:bookmarkStart w:id="2" w:name="_Toc20147"/>
      <w:bookmarkStart w:id="3" w:name="_Toc26865"/>
      <w:bookmarkStart w:id="4" w:name="_Toc24023645"/>
      <w:bookmarkStart w:id="5" w:name="_Toc24553173"/>
      <w:r>
        <w:rPr>
          <w:rFonts w:hint="eastAsia" w:ascii="仿宋" w:hAnsi="仿宋" w:eastAsia="仿宋"/>
          <w:color w:val="auto"/>
          <w:kern w:val="2"/>
          <w:sz w:val="28"/>
          <w:szCs w:val="28"/>
        </w:rPr>
        <w:t>为进一步推进仓山区财政绩效管理工作，不断提高财政资金使用绩效，根据财政部《项目支出绩效评价管理办法》（财预〔2020〕10号）、中共中央、国务院《关于全面实施预算绩效管理的意见》（中发〔2018〕34号）、福建省委、省政府《关于全面实施预算绩效管理的实施意见》（闽委发〔2019〕5号）、福建省委、省政府《关于全面实施预算绩效管理的实施意见》（闽委发〔2019〕5号）、福建省财政厅《关于全面实施预算绩效管理若干措施的通知》（闽财绩〔2019〕2号）、中共福州市委、福州市人民政府《关于印发〈全面实施预算绩效管理的方案〉的通知》（榕委发﹝2019﹞</w:t>
      </w:r>
      <w:r>
        <w:rPr>
          <w:rFonts w:ascii="仿宋" w:hAnsi="仿宋" w:eastAsia="仿宋"/>
          <w:color w:val="auto"/>
          <w:kern w:val="2"/>
          <w:sz w:val="28"/>
          <w:szCs w:val="28"/>
        </w:rPr>
        <w:t>9</w:t>
      </w:r>
      <w:r>
        <w:rPr>
          <w:rFonts w:hint="eastAsia" w:ascii="仿宋" w:hAnsi="仿宋" w:eastAsia="仿宋"/>
          <w:color w:val="auto"/>
          <w:kern w:val="2"/>
          <w:sz w:val="28"/>
          <w:szCs w:val="28"/>
        </w:rPr>
        <w:t>号）、《福建省人民政府关于加强政府性债务管理的实施意见》（闽政〔2015〕55号）等文件精神，福建金财恒效咨询有限公司接受仓山区财政局委托，组成仓山区卫生健康服务能力提升项目（债券资金）绩效评价工作组，对仓山区卫生健康局2023年度该项目实施绩效评价。</w:t>
      </w:r>
    </w:p>
    <w:p>
      <w:pPr>
        <w:spacing w:line="520" w:lineRule="exact"/>
        <w:jc w:val="both"/>
        <w:rPr>
          <w:rFonts w:hint="eastAsia" w:ascii="仿宋" w:hAnsi="仿宋" w:eastAsia="仿宋"/>
          <w:color w:val="auto"/>
          <w:sz w:val="28"/>
          <w:szCs w:val="28"/>
        </w:rPr>
      </w:pPr>
      <w:r>
        <w:rPr>
          <w:rFonts w:hint="eastAsia" w:ascii="仿宋" w:hAnsi="仿宋" w:eastAsia="仿宋"/>
          <w:color w:val="auto"/>
          <w:sz w:val="28"/>
          <w:szCs w:val="28"/>
        </w:rPr>
        <w:t xml:space="preserve">   2024年12月，绩效评价工作组赴项目委托单位和项目实施单位实地了解情况、搜集相关资料，在此基础上制定了绩效评价实施方案，设计了绩效评价指标框架。根据实施方案的要求，评价小组围绕既定的评价指标框架展开了绩效评价工作，通过案卷研究、询问查证、抽查财务资料、组织座谈、实地走访调查等多种方式收集了充分的评价证据，对项目资金投入、财务管理、业务管理、项目的产出和效益做出了全面的评价，在此基础上形成《</w:t>
      </w:r>
      <w:r>
        <w:rPr>
          <w:rFonts w:hint="eastAsia" w:ascii="仿宋" w:hAnsi="仿宋" w:eastAsia="仿宋" w:cs="Times New Roman"/>
          <w:color w:val="auto"/>
          <w:sz w:val="28"/>
          <w:szCs w:val="28"/>
        </w:rPr>
        <w:t>2023年度仓山区卫生健康服务能力提升项目（债券资金）支出绩效评价报告</w:t>
      </w:r>
      <w:r>
        <w:rPr>
          <w:rFonts w:hint="eastAsia" w:ascii="仿宋" w:hAnsi="仿宋" w:eastAsia="仿宋"/>
          <w:color w:val="auto"/>
          <w:sz w:val="28"/>
          <w:szCs w:val="28"/>
        </w:rPr>
        <w:t>》。</w:t>
      </w:r>
    </w:p>
    <w:p>
      <w:pPr>
        <w:spacing w:line="520" w:lineRule="exact"/>
        <w:ind w:firstLine="560" w:firstLineChars="200"/>
        <w:jc w:val="both"/>
        <w:outlineLvl w:val="0"/>
        <w:rPr>
          <w:rFonts w:hint="eastAsia" w:ascii="黑体" w:hAnsi="黑体" w:eastAsia="黑体" w:cs="黑体"/>
          <w:color w:val="auto"/>
          <w:sz w:val="28"/>
          <w:szCs w:val="28"/>
        </w:rPr>
      </w:pPr>
      <w:bookmarkStart w:id="6" w:name="_Toc186450509"/>
      <w:r>
        <w:rPr>
          <w:rFonts w:hint="eastAsia" w:ascii="黑体" w:hAnsi="黑体" w:eastAsia="黑体" w:cs="黑体"/>
          <w:color w:val="auto"/>
          <w:sz w:val="28"/>
          <w:szCs w:val="28"/>
        </w:rPr>
        <w:t>一、项目基本情况</w:t>
      </w:r>
      <w:bookmarkEnd w:id="0"/>
      <w:bookmarkEnd w:id="1"/>
      <w:bookmarkEnd w:id="2"/>
      <w:bookmarkEnd w:id="3"/>
      <w:bookmarkEnd w:id="6"/>
    </w:p>
    <w:p>
      <w:pPr>
        <w:spacing w:line="520" w:lineRule="exact"/>
        <w:ind w:firstLine="560" w:firstLineChars="200"/>
        <w:jc w:val="both"/>
        <w:outlineLvl w:val="1"/>
        <w:rPr>
          <w:rFonts w:hint="eastAsia" w:ascii="楷体" w:hAnsi="楷体" w:eastAsia="楷体" w:cs="楷体"/>
          <w:color w:val="auto"/>
          <w:sz w:val="28"/>
          <w:szCs w:val="28"/>
        </w:rPr>
      </w:pPr>
      <w:bookmarkStart w:id="7" w:name="_Toc6794"/>
      <w:bookmarkStart w:id="8" w:name="_Toc186450510"/>
      <w:bookmarkStart w:id="9" w:name="_Toc10295"/>
      <w:bookmarkStart w:id="10" w:name="_Toc10484"/>
      <w:bookmarkStart w:id="11" w:name="_Toc57299258"/>
      <w:r>
        <w:rPr>
          <w:rFonts w:hint="eastAsia" w:ascii="楷体" w:hAnsi="楷体" w:eastAsia="楷体" w:cs="楷体"/>
          <w:color w:val="auto"/>
          <w:sz w:val="28"/>
          <w:szCs w:val="28"/>
        </w:rPr>
        <w:t>（一）概况</w:t>
      </w:r>
      <w:bookmarkEnd w:id="7"/>
      <w:bookmarkEnd w:id="8"/>
      <w:bookmarkEnd w:id="9"/>
      <w:bookmarkEnd w:id="10"/>
      <w:bookmarkEnd w:id="11"/>
    </w:p>
    <w:p>
      <w:pPr>
        <w:pStyle w:val="32"/>
        <w:spacing w:beforeAutospacing="0" w:afterAutospacing="0" w:line="520" w:lineRule="exact"/>
        <w:ind w:firstLine="562" w:firstLineChars="200"/>
        <w:jc w:val="both"/>
        <w:rPr>
          <w:rFonts w:hint="eastAsia" w:ascii="仿宋" w:hAnsi="仿宋" w:eastAsia="仿宋"/>
          <w:b/>
          <w:bCs/>
          <w:color w:val="auto"/>
          <w:kern w:val="2"/>
          <w:sz w:val="28"/>
          <w:szCs w:val="28"/>
        </w:rPr>
      </w:pPr>
      <w:bookmarkStart w:id="12" w:name="_Toc10941"/>
      <w:bookmarkStart w:id="13" w:name="_Toc30625"/>
      <w:bookmarkStart w:id="14" w:name="_Toc24720"/>
      <w:r>
        <w:rPr>
          <w:rFonts w:hint="eastAsia" w:ascii="仿宋" w:hAnsi="仿宋" w:eastAsia="仿宋"/>
          <w:b/>
          <w:bCs/>
          <w:color w:val="auto"/>
          <w:kern w:val="2"/>
          <w:sz w:val="28"/>
          <w:szCs w:val="28"/>
        </w:rPr>
        <w:t>1.项目立项的背景和目的</w:t>
      </w:r>
      <w:bookmarkEnd w:id="12"/>
      <w:bookmarkEnd w:id="13"/>
      <w:bookmarkEnd w:id="14"/>
    </w:p>
    <w:p>
      <w:pPr>
        <w:pStyle w:val="15"/>
        <w:adjustRightInd w:val="0"/>
        <w:snapToGrid w:val="0"/>
        <w:spacing w:line="520" w:lineRule="exact"/>
        <w:rPr>
          <w:rFonts w:hint="eastAsia" w:ascii="仿宋" w:hAnsi="仿宋" w:eastAsia="仿宋" w:cs="宋体"/>
          <w:szCs w:val="28"/>
        </w:rPr>
      </w:pPr>
      <w:r>
        <w:rPr>
          <w:rFonts w:ascii="仿宋" w:hAnsi="仿宋" w:eastAsia="仿宋" w:cs="宋体"/>
          <w:szCs w:val="28"/>
        </w:rPr>
        <w:t>随着社会、经济的不断发展和科学技术的不断进步，人民的生活水平得到了很大的改善，生活质量也随着人们对生命意义的认识和健康意识的增强而提高，相应地对医疗服务行业提出了更高的要求，要求医疗机构能够为社会提供更全面、更优质的医疗、保健、康复服务。</w:t>
      </w:r>
      <w:r>
        <w:rPr>
          <w:rFonts w:hint="eastAsia" w:ascii="仿宋" w:hAnsi="仿宋" w:eastAsia="仿宋" w:cs="宋体"/>
          <w:szCs w:val="28"/>
        </w:rPr>
        <w:t>根据</w:t>
      </w:r>
      <w:r>
        <w:rPr>
          <w:rFonts w:ascii="仿宋" w:hAnsi="仿宋" w:eastAsia="仿宋" w:cs="宋体"/>
          <w:szCs w:val="28"/>
        </w:rPr>
        <w:t>《中共福建省委福建省人民政府关于进一步深化医药卫生体制改革的意见》“十四五”期间，加快建立适应时代要求、体现福建特点的卫生健康服务体系，基本医疗卫生服务水平逐步提高，主要健康指标保持全国前列；每千人口拥有执业（助理）医师数达3人，每千人口医疗卫生机构床位数达6张，常见病多发病县域内就诊率达90％，分级诊疗格局基本形成；各统筹区城乡居民医保筹资标准达到全国平均水平、并接近华东地区平均水平，政策范围内报销比例达70％左右；政府主导的多元筹资机制更加完善，个人卫生支出占卫生总费用比重控制在25％左右，人民群众获得感、幸福感、安全感不断增强。项目的建设充分符合国家关于医疗体制改革措施、国家关于健全公共卫生服务体系，是仓山</w:t>
      </w:r>
      <w:r>
        <w:rPr>
          <w:rFonts w:hint="eastAsia" w:ascii="仿宋" w:hAnsi="仿宋" w:eastAsia="仿宋" w:cs="宋体"/>
          <w:szCs w:val="28"/>
        </w:rPr>
        <w:t>区</w:t>
      </w:r>
      <w:r>
        <w:rPr>
          <w:rFonts w:ascii="仿宋" w:hAnsi="仿宋" w:eastAsia="仿宋" w:cs="宋体"/>
          <w:szCs w:val="28"/>
        </w:rPr>
        <w:t>当地落实国家提出的医疗事业改革相关政策的重大举措。</w:t>
      </w:r>
    </w:p>
    <w:p>
      <w:pPr>
        <w:pStyle w:val="32"/>
        <w:spacing w:beforeAutospacing="0" w:afterAutospacing="0" w:line="520" w:lineRule="exact"/>
        <w:ind w:firstLine="562" w:firstLineChars="200"/>
        <w:jc w:val="both"/>
        <w:rPr>
          <w:rFonts w:hint="eastAsia" w:ascii="仿宋" w:hAnsi="仿宋" w:eastAsia="仿宋"/>
          <w:b/>
          <w:bCs/>
          <w:color w:val="auto"/>
          <w:kern w:val="2"/>
          <w:sz w:val="28"/>
          <w:szCs w:val="28"/>
        </w:rPr>
      </w:pPr>
      <w:bookmarkStart w:id="15" w:name="_Toc8432"/>
      <w:bookmarkStart w:id="16" w:name="_Toc22447"/>
      <w:bookmarkStart w:id="17" w:name="_Toc5967"/>
      <w:r>
        <w:rPr>
          <w:rFonts w:hint="eastAsia" w:ascii="仿宋" w:hAnsi="仿宋" w:eastAsia="仿宋"/>
          <w:b/>
          <w:bCs/>
          <w:color w:val="auto"/>
          <w:kern w:val="2"/>
          <w:sz w:val="28"/>
          <w:szCs w:val="28"/>
        </w:rPr>
        <w:t>2.主要建设内容</w:t>
      </w:r>
    </w:p>
    <w:p>
      <w:pPr>
        <w:pStyle w:val="15"/>
        <w:adjustRightInd w:val="0"/>
        <w:snapToGrid w:val="0"/>
        <w:spacing w:line="520" w:lineRule="exact"/>
        <w:rPr>
          <w:rFonts w:hint="eastAsia" w:ascii="仿宋" w:hAnsi="仿宋" w:eastAsia="仿宋" w:cs="宋体"/>
          <w:szCs w:val="28"/>
        </w:rPr>
      </w:pPr>
      <w:r>
        <w:rPr>
          <w:rFonts w:ascii="仿宋" w:hAnsi="仿宋" w:eastAsia="仿宋" w:cs="宋体"/>
          <w:szCs w:val="28"/>
        </w:rPr>
        <w:t>项目</w:t>
      </w:r>
      <w:r>
        <w:rPr>
          <w:rFonts w:hint="eastAsia" w:ascii="仿宋" w:hAnsi="仿宋" w:eastAsia="仿宋" w:cs="宋体"/>
          <w:szCs w:val="28"/>
        </w:rPr>
        <w:t>整体</w:t>
      </w:r>
      <w:r>
        <w:rPr>
          <w:rFonts w:ascii="仿宋" w:hAnsi="仿宋" w:eastAsia="仿宋" w:cs="宋体"/>
          <w:szCs w:val="28"/>
        </w:rPr>
        <w:t>主要对仓山区</w:t>
      </w:r>
      <w:r>
        <w:rPr>
          <w:rFonts w:ascii="Calibri" w:hAnsi="Calibri" w:eastAsia="仿宋" w:cs="Calibri"/>
          <w:szCs w:val="28"/>
        </w:rPr>
        <w:t> </w:t>
      </w:r>
      <w:r>
        <w:rPr>
          <w:rFonts w:ascii="仿宋" w:hAnsi="仿宋" w:eastAsia="仿宋" w:cs="宋体"/>
          <w:szCs w:val="28"/>
        </w:rPr>
        <w:t>13个镇街基层医疗卫生机构进行健康服务能力提升，涉及总建筑面积21467.8平方米。主要建设内容为装修提升改造及信息化水平提升、医疗设备购置等</w:t>
      </w:r>
      <w:r>
        <w:rPr>
          <w:rFonts w:hint="eastAsia" w:ascii="仿宋" w:hAnsi="仿宋" w:eastAsia="仿宋" w:cs="宋体"/>
          <w:szCs w:val="28"/>
        </w:rPr>
        <w:t>。</w:t>
      </w:r>
    </w:p>
    <w:p>
      <w:pPr>
        <w:pStyle w:val="32"/>
        <w:spacing w:beforeAutospacing="0" w:afterAutospacing="0" w:line="520" w:lineRule="exact"/>
        <w:ind w:firstLine="562" w:firstLineChars="200"/>
        <w:jc w:val="both"/>
        <w:rPr>
          <w:rFonts w:hint="eastAsia" w:ascii="仿宋" w:hAnsi="仿宋" w:eastAsia="仿宋"/>
          <w:b/>
          <w:bCs/>
          <w:color w:val="auto"/>
          <w:kern w:val="2"/>
          <w:sz w:val="28"/>
          <w:szCs w:val="28"/>
        </w:rPr>
      </w:pPr>
      <w:r>
        <w:rPr>
          <w:rFonts w:hint="eastAsia" w:ascii="仿宋" w:hAnsi="仿宋" w:eastAsia="仿宋"/>
          <w:b/>
          <w:bCs/>
          <w:color w:val="auto"/>
          <w:kern w:val="2"/>
          <w:sz w:val="28"/>
          <w:szCs w:val="28"/>
        </w:rPr>
        <w:t>3.项目预算资金来源及使用情况</w:t>
      </w:r>
      <w:bookmarkEnd w:id="15"/>
      <w:bookmarkEnd w:id="16"/>
      <w:bookmarkEnd w:id="17"/>
    </w:p>
    <w:p>
      <w:pPr>
        <w:pStyle w:val="15"/>
        <w:adjustRightInd w:val="0"/>
        <w:snapToGrid w:val="0"/>
        <w:spacing w:line="520" w:lineRule="exact"/>
        <w:rPr>
          <w:rFonts w:hint="eastAsia" w:ascii="仿宋" w:hAnsi="仿宋" w:eastAsia="仿宋" w:cs="宋体"/>
          <w:szCs w:val="28"/>
        </w:rPr>
      </w:pPr>
      <w:r>
        <w:rPr>
          <w:rFonts w:hint="eastAsia" w:ascii="仿宋" w:hAnsi="仿宋" w:eastAsia="仿宋" w:cs="宋体"/>
          <w:szCs w:val="28"/>
        </w:rPr>
        <w:t>仓山区卫生健康服务能力提升项目（债券资金）2023年支出预算计划是2,000.00万元，资金从地方政府专项债券中申请列支。根据《福州市仓山区发展和改革局关于仓山区卫生健康服务能力提升项目（债券资金）可行性研究报告的复函》《</w:t>
      </w:r>
      <w:r>
        <w:rPr>
          <w:rFonts w:ascii="仿宋" w:hAnsi="仿宋" w:eastAsia="仿宋" w:cs="宋体"/>
          <w:szCs w:val="28"/>
        </w:rPr>
        <w:t>福州市仓山区发展和改革局关于仓山区卫生健康服务能力提升项目（债券资金）建议书的复函</w:t>
      </w:r>
      <w:r>
        <w:rPr>
          <w:rFonts w:hint="eastAsia" w:ascii="仿宋" w:hAnsi="仿宋" w:eastAsia="仿宋" w:cs="宋体"/>
          <w:szCs w:val="28"/>
        </w:rPr>
        <w:t>》等文件，</w:t>
      </w:r>
      <w:r>
        <w:rPr>
          <w:rFonts w:ascii="仿宋" w:hAnsi="仿宋" w:eastAsia="仿宋" w:cs="宋体"/>
          <w:szCs w:val="28"/>
        </w:rPr>
        <w:t>项目总投资估算7886.72万元。项目所需资金</w:t>
      </w:r>
      <w:r>
        <w:rPr>
          <w:rFonts w:hint="eastAsia" w:ascii="仿宋" w:hAnsi="仿宋" w:eastAsia="仿宋" w:cs="宋体"/>
          <w:szCs w:val="28"/>
        </w:rPr>
        <w:t>中的2023年</w:t>
      </w:r>
      <w:r>
        <w:rPr>
          <w:rFonts w:ascii="仿宋" w:hAnsi="仿宋" w:eastAsia="仿宋" w:cs="宋体"/>
          <w:szCs w:val="28"/>
        </w:rPr>
        <w:t>地方政府专项债券</w:t>
      </w:r>
      <w:r>
        <w:rPr>
          <w:rFonts w:hint="eastAsia" w:ascii="仿宋" w:hAnsi="仿宋" w:eastAsia="仿宋" w:cs="宋体"/>
          <w:szCs w:val="28"/>
        </w:rPr>
        <w:t>2000.00万元</w:t>
      </w:r>
      <w:r>
        <w:rPr>
          <w:rFonts w:ascii="仿宋" w:hAnsi="仿宋" w:eastAsia="仿宋" w:cs="宋体"/>
          <w:szCs w:val="28"/>
        </w:rPr>
        <w:t>，</w:t>
      </w:r>
      <w:r>
        <w:rPr>
          <w:rFonts w:hint="eastAsia" w:ascii="仿宋" w:hAnsi="仿宋" w:eastAsia="仿宋" w:cs="宋体"/>
          <w:szCs w:val="28"/>
        </w:rPr>
        <w:t>截至目前已全部到位并拨付，具体支出情况见表</w:t>
      </w:r>
      <w:r>
        <w:rPr>
          <w:rFonts w:ascii="仿宋" w:hAnsi="仿宋" w:eastAsia="仿宋" w:cs="宋体"/>
          <w:szCs w:val="28"/>
        </w:rPr>
        <w:t>1-1。</w:t>
      </w:r>
    </w:p>
    <w:p>
      <w:pPr>
        <w:spacing w:line="520" w:lineRule="exact"/>
        <w:ind w:firstLine="422" w:firstLineChars="200"/>
        <w:jc w:val="center"/>
        <w:rPr>
          <w:rFonts w:hint="eastAsia" w:ascii="仿宋" w:hAnsi="仿宋" w:eastAsia="仿宋" w:cs="宋体"/>
          <w:b/>
          <w:bCs/>
          <w:color w:val="auto"/>
          <w:lang w:bidi="ar"/>
        </w:rPr>
      </w:pPr>
      <w:r>
        <w:rPr>
          <w:rFonts w:hint="eastAsia" w:ascii="仿宋" w:hAnsi="仿宋" w:eastAsia="仿宋" w:cs="宋体"/>
          <w:b/>
          <w:bCs/>
          <w:color w:val="auto"/>
          <w:lang w:bidi="ar"/>
        </w:rPr>
        <w:t xml:space="preserve">        表1-1  债券资金实际支出明细表             单位：万元</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spacing w:line="520" w:lineRule="exact"/>
              <w:jc w:val="center"/>
              <w:rPr>
                <w:rFonts w:hint="eastAsia" w:ascii="仿宋" w:hAnsi="仿宋" w:eastAsia="仿宋" w:cs="宋体"/>
                <w:b/>
                <w:bCs/>
                <w:color w:val="auto"/>
                <w:lang w:bidi="ar"/>
              </w:rPr>
            </w:pPr>
            <w:r>
              <w:rPr>
                <w:rFonts w:hint="eastAsia" w:ascii="仿宋" w:hAnsi="仿宋" w:eastAsia="仿宋" w:cs="宋体"/>
                <w:b/>
                <w:bCs/>
                <w:color w:val="auto"/>
                <w:lang w:bidi="ar"/>
              </w:rPr>
              <w:t>支出单位</w:t>
            </w:r>
          </w:p>
        </w:tc>
        <w:tc>
          <w:tcPr>
            <w:tcW w:w="4673" w:type="dxa"/>
          </w:tcPr>
          <w:p>
            <w:pPr>
              <w:spacing w:line="520" w:lineRule="exact"/>
              <w:jc w:val="center"/>
              <w:rPr>
                <w:rFonts w:hint="eastAsia" w:ascii="仿宋" w:hAnsi="仿宋" w:eastAsia="仿宋" w:cs="宋体"/>
                <w:b/>
                <w:bCs/>
                <w:color w:val="auto"/>
                <w:lang w:bidi="ar"/>
              </w:rPr>
            </w:pPr>
            <w:r>
              <w:rPr>
                <w:rFonts w:hint="eastAsia" w:ascii="仿宋" w:hAnsi="仿宋" w:eastAsia="仿宋" w:cs="宋体"/>
                <w:b/>
                <w:bCs/>
                <w:color w:val="auto"/>
                <w:lang w:bidi="ar"/>
              </w:rPr>
              <w:t>支出金额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spacing w:line="520" w:lineRule="exact"/>
              <w:jc w:val="center"/>
              <w:rPr>
                <w:rFonts w:hint="eastAsia" w:ascii="仿宋" w:hAnsi="仿宋" w:eastAsia="仿宋" w:cs="宋体"/>
                <w:color w:val="auto"/>
                <w:lang w:bidi="ar"/>
              </w:rPr>
            </w:pPr>
            <w:r>
              <w:rPr>
                <w:rFonts w:hint="eastAsia" w:ascii="仿宋" w:hAnsi="仿宋" w:eastAsia="仿宋" w:cs="宋体"/>
                <w:color w:val="auto"/>
                <w:lang w:bidi="ar"/>
              </w:rPr>
              <w:t>城门镇卫生院</w:t>
            </w:r>
          </w:p>
        </w:tc>
        <w:tc>
          <w:tcPr>
            <w:tcW w:w="4673" w:type="dxa"/>
          </w:tcPr>
          <w:p>
            <w:pPr>
              <w:spacing w:line="520" w:lineRule="exact"/>
              <w:jc w:val="center"/>
              <w:rPr>
                <w:rFonts w:hint="eastAsia" w:ascii="仿宋" w:hAnsi="仿宋" w:eastAsia="仿宋" w:cs="宋体"/>
                <w:color w:val="auto"/>
                <w:lang w:bidi="ar"/>
              </w:rPr>
            </w:pPr>
            <w:r>
              <w:rPr>
                <w:rFonts w:ascii="仿宋" w:hAnsi="仿宋" w:eastAsia="仿宋" w:cs="宋体"/>
                <w:color w:val="auto"/>
                <w:lang w:bidi="ar"/>
              </w:rPr>
              <w:t>67</w:t>
            </w:r>
            <w:r>
              <w:rPr>
                <w:rFonts w:hint="eastAsia" w:ascii="仿宋" w:hAnsi="仿宋" w:eastAsia="仿宋" w:cs="宋体"/>
                <w:color w:val="auto"/>
                <w:lang w:bidi="ar"/>
              </w:rPr>
              <w:t>.</w:t>
            </w:r>
            <w:r>
              <w:rPr>
                <w:rFonts w:ascii="仿宋" w:hAnsi="仿宋" w:eastAsia="仿宋" w:cs="宋体"/>
                <w:color w:val="auto"/>
                <w:lang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spacing w:line="520" w:lineRule="exact"/>
              <w:jc w:val="center"/>
              <w:rPr>
                <w:rFonts w:hint="eastAsia" w:ascii="仿宋" w:hAnsi="仿宋" w:eastAsia="仿宋" w:cs="宋体"/>
                <w:color w:val="auto"/>
                <w:lang w:bidi="ar"/>
              </w:rPr>
            </w:pPr>
            <w:r>
              <w:rPr>
                <w:rFonts w:hint="eastAsia" w:ascii="仿宋" w:hAnsi="仿宋" w:eastAsia="仿宋" w:cs="宋体"/>
                <w:color w:val="auto"/>
                <w:lang w:bidi="ar"/>
              </w:rPr>
              <w:t>盖山镇卫生院</w:t>
            </w:r>
          </w:p>
        </w:tc>
        <w:tc>
          <w:tcPr>
            <w:tcW w:w="4673" w:type="dxa"/>
          </w:tcPr>
          <w:p>
            <w:pPr>
              <w:spacing w:line="520" w:lineRule="exact"/>
              <w:jc w:val="center"/>
              <w:rPr>
                <w:rFonts w:hint="eastAsia" w:ascii="仿宋" w:hAnsi="仿宋" w:eastAsia="仿宋" w:cs="宋体"/>
                <w:color w:val="auto"/>
                <w:lang w:bidi="ar"/>
              </w:rPr>
            </w:pPr>
            <w:r>
              <w:rPr>
                <w:rFonts w:ascii="仿宋" w:hAnsi="仿宋" w:eastAsia="仿宋" w:cs="宋体"/>
                <w:color w:val="auto"/>
                <w:lang w:bidi="ar"/>
              </w:rPr>
              <w:t>90</w:t>
            </w:r>
            <w:r>
              <w:rPr>
                <w:rFonts w:hint="eastAsia" w:ascii="仿宋" w:hAnsi="仿宋" w:eastAsia="仿宋" w:cs="宋体"/>
                <w:color w:val="auto"/>
                <w:lang w:bidi="ar"/>
              </w:rPr>
              <w:t>.</w:t>
            </w:r>
            <w:r>
              <w:rPr>
                <w:rFonts w:ascii="仿宋" w:hAnsi="仿宋" w:eastAsia="仿宋" w:cs="宋体"/>
                <w:color w:val="auto"/>
                <w:lang w:bidi="ar"/>
              </w:rPr>
              <w:t>00</w:t>
            </w:r>
            <w:r>
              <w:rPr>
                <w:rFonts w:hint="eastAsia" w:ascii="仿宋" w:hAnsi="仿宋" w:eastAsia="仿宋" w:cs="宋体"/>
                <w:color w:val="auto"/>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spacing w:line="520" w:lineRule="exact"/>
              <w:jc w:val="center"/>
              <w:rPr>
                <w:rFonts w:hint="eastAsia" w:ascii="仿宋" w:hAnsi="仿宋" w:eastAsia="仿宋" w:cs="宋体"/>
                <w:color w:val="auto"/>
                <w:lang w:bidi="ar"/>
              </w:rPr>
            </w:pPr>
            <w:r>
              <w:rPr>
                <w:rFonts w:hint="eastAsia" w:ascii="仿宋" w:hAnsi="仿宋" w:eastAsia="仿宋" w:cs="宋体"/>
                <w:color w:val="auto"/>
                <w:lang w:bidi="ar"/>
              </w:rPr>
              <w:t>金山金山街道第二社区卫生服务中心</w:t>
            </w:r>
          </w:p>
        </w:tc>
        <w:tc>
          <w:tcPr>
            <w:tcW w:w="4673" w:type="dxa"/>
          </w:tcPr>
          <w:p>
            <w:pPr>
              <w:spacing w:line="520" w:lineRule="exact"/>
              <w:jc w:val="center"/>
              <w:rPr>
                <w:rFonts w:hint="eastAsia" w:ascii="仿宋" w:hAnsi="仿宋" w:eastAsia="仿宋" w:cs="宋体"/>
                <w:color w:val="auto"/>
                <w:lang w:bidi="ar"/>
              </w:rPr>
            </w:pPr>
            <w:r>
              <w:rPr>
                <w:rFonts w:ascii="仿宋" w:hAnsi="仿宋" w:eastAsia="仿宋" w:cs="宋体"/>
                <w:color w:val="auto"/>
                <w:lang w:bidi="ar"/>
              </w:rPr>
              <w:t>86</w:t>
            </w:r>
            <w:r>
              <w:rPr>
                <w:rFonts w:hint="eastAsia" w:ascii="仿宋" w:hAnsi="仿宋" w:eastAsia="仿宋" w:cs="宋体"/>
                <w:color w:val="auto"/>
                <w:lang w:bidi="ar"/>
              </w:rPr>
              <w:t>.</w:t>
            </w:r>
            <w:r>
              <w:rPr>
                <w:rFonts w:ascii="仿宋" w:hAnsi="仿宋" w:eastAsia="仿宋" w:cs="宋体"/>
                <w:color w:val="auto"/>
                <w:lang w:bidi="ar"/>
              </w:rPr>
              <w:t>0</w:t>
            </w:r>
            <w:r>
              <w:rPr>
                <w:rFonts w:hint="eastAsia" w:ascii="仿宋" w:hAnsi="仿宋" w:eastAsia="仿宋" w:cs="宋体"/>
                <w:color w:val="auto"/>
                <w:lang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spacing w:line="520" w:lineRule="exact"/>
              <w:jc w:val="center"/>
              <w:rPr>
                <w:rFonts w:hint="eastAsia" w:ascii="仿宋" w:hAnsi="仿宋" w:eastAsia="仿宋" w:cs="宋体"/>
                <w:color w:val="auto"/>
                <w:lang w:bidi="ar"/>
              </w:rPr>
            </w:pPr>
            <w:r>
              <w:rPr>
                <w:rFonts w:hint="eastAsia" w:ascii="仿宋" w:hAnsi="仿宋" w:eastAsia="仿宋" w:cs="宋体"/>
                <w:color w:val="auto"/>
                <w:lang w:bidi="ar"/>
              </w:rPr>
              <w:t>金山街道社区卫生服务中心</w:t>
            </w:r>
          </w:p>
        </w:tc>
        <w:tc>
          <w:tcPr>
            <w:tcW w:w="4673" w:type="dxa"/>
          </w:tcPr>
          <w:p>
            <w:pPr>
              <w:spacing w:line="520" w:lineRule="exact"/>
              <w:jc w:val="center"/>
              <w:rPr>
                <w:rFonts w:hint="eastAsia" w:ascii="仿宋" w:hAnsi="仿宋" w:eastAsia="仿宋" w:cs="宋体"/>
                <w:color w:val="auto"/>
                <w:lang w:bidi="ar"/>
              </w:rPr>
            </w:pPr>
            <w:r>
              <w:rPr>
                <w:rFonts w:ascii="仿宋" w:hAnsi="仿宋" w:eastAsia="仿宋" w:cs="宋体"/>
                <w:color w:val="auto"/>
                <w:lang w:bidi="ar"/>
              </w:rPr>
              <w:t>320</w:t>
            </w:r>
            <w:r>
              <w:rPr>
                <w:rFonts w:hint="eastAsia" w:ascii="仿宋" w:hAnsi="仿宋" w:eastAsia="仿宋" w:cs="宋体"/>
                <w:color w:val="auto"/>
                <w:lang w:bidi="ar"/>
              </w:rPr>
              <w:t>.</w:t>
            </w:r>
            <w:r>
              <w:rPr>
                <w:rFonts w:ascii="仿宋" w:hAnsi="仿宋" w:eastAsia="仿宋" w:cs="宋体"/>
                <w:color w:val="auto"/>
                <w:lang w:bidi="ar"/>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spacing w:line="520" w:lineRule="exact"/>
              <w:jc w:val="center"/>
              <w:rPr>
                <w:rFonts w:hint="eastAsia" w:ascii="仿宋" w:hAnsi="仿宋" w:eastAsia="仿宋" w:cs="宋体"/>
                <w:color w:val="auto"/>
                <w:lang w:bidi="ar"/>
              </w:rPr>
            </w:pPr>
            <w:r>
              <w:rPr>
                <w:rFonts w:hint="eastAsia" w:ascii="仿宋" w:hAnsi="仿宋" w:eastAsia="仿宋" w:cs="宋体"/>
                <w:color w:val="auto"/>
                <w:lang w:bidi="ar"/>
              </w:rPr>
              <w:t>临江街道社区卫生服务中心</w:t>
            </w:r>
          </w:p>
        </w:tc>
        <w:tc>
          <w:tcPr>
            <w:tcW w:w="4673" w:type="dxa"/>
          </w:tcPr>
          <w:p>
            <w:pPr>
              <w:spacing w:line="520" w:lineRule="exact"/>
              <w:jc w:val="center"/>
              <w:rPr>
                <w:rFonts w:hint="eastAsia" w:ascii="仿宋" w:hAnsi="仿宋" w:eastAsia="仿宋" w:cs="宋体"/>
                <w:color w:val="auto"/>
                <w:lang w:bidi="ar"/>
              </w:rPr>
            </w:pPr>
            <w:r>
              <w:rPr>
                <w:rFonts w:ascii="仿宋" w:hAnsi="仿宋" w:eastAsia="仿宋" w:cs="宋体"/>
                <w:color w:val="auto"/>
                <w:lang w:bidi="ar"/>
              </w:rPr>
              <w:t>249</w:t>
            </w:r>
            <w:r>
              <w:rPr>
                <w:rFonts w:hint="eastAsia" w:ascii="仿宋" w:hAnsi="仿宋" w:eastAsia="仿宋" w:cs="宋体"/>
                <w:color w:val="auto"/>
                <w:lang w:bidi="ar"/>
              </w:rPr>
              <w:t>.</w:t>
            </w:r>
            <w:r>
              <w:rPr>
                <w:rFonts w:ascii="仿宋" w:hAnsi="仿宋" w:eastAsia="仿宋" w:cs="宋体"/>
                <w:color w:val="auto"/>
                <w:lang w:bidi="ar"/>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spacing w:line="520" w:lineRule="exact"/>
              <w:jc w:val="center"/>
              <w:rPr>
                <w:rFonts w:hint="eastAsia" w:ascii="仿宋" w:hAnsi="仿宋" w:eastAsia="仿宋" w:cs="宋体"/>
                <w:color w:val="auto"/>
                <w:lang w:bidi="ar"/>
              </w:rPr>
            </w:pPr>
            <w:r>
              <w:rPr>
                <w:rFonts w:hint="eastAsia" w:ascii="仿宋" w:hAnsi="仿宋" w:eastAsia="仿宋" w:cs="宋体"/>
                <w:color w:val="auto"/>
                <w:lang w:bidi="ar"/>
              </w:rPr>
              <w:t>三叉街街道社区卫生服务中心</w:t>
            </w:r>
          </w:p>
        </w:tc>
        <w:tc>
          <w:tcPr>
            <w:tcW w:w="4673" w:type="dxa"/>
          </w:tcPr>
          <w:p>
            <w:pPr>
              <w:spacing w:line="520" w:lineRule="exact"/>
              <w:jc w:val="center"/>
              <w:rPr>
                <w:rFonts w:hint="eastAsia" w:ascii="仿宋" w:hAnsi="仿宋" w:eastAsia="仿宋" w:cs="宋体"/>
                <w:color w:val="auto"/>
                <w:lang w:bidi="ar"/>
              </w:rPr>
            </w:pPr>
            <w:r>
              <w:rPr>
                <w:rFonts w:ascii="仿宋" w:hAnsi="仿宋" w:eastAsia="仿宋" w:cs="宋体"/>
                <w:color w:val="auto"/>
                <w:lang w:bidi="ar"/>
              </w:rPr>
              <w:t>283</w:t>
            </w:r>
            <w:r>
              <w:rPr>
                <w:rFonts w:hint="eastAsia" w:ascii="仿宋" w:hAnsi="仿宋" w:eastAsia="仿宋" w:cs="宋体"/>
                <w:color w:val="auto"/>
                <w:lang w:bidi="ar"/>
              </w:rPr>
              <w:t>.</w:t>
            </w:r>
            <w:r>
              <w:rPr>
                <w:rFonts w:ascii="仿宋" w:hAnsi="仿宋" w:eastAsia="仿宋" w:cs="宋体"/>
                <w:color w:val="auto"/>
                <w:lang w:bidi="ar"/>
              </w:rPr>
              <w:t>9</w:t>
            </w:r>
            <w:r>
              <w:rPr>
                <w:rFonts w:hint="eastAsia" w:ascii="仿宋" w:hAnsi="仿宋" w:eastAsia="仿宋" w:cs="宋体"/>
                <w:color w:val="auto"/>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spacing w:line="520" w:lineRule="exact"/>
              <w:jc w:val="center"/>
              <w:rPr>
                <w:rFonts w:hint="eastAsia" w:ascii="仿宋" w:hAnsi="仿宋" w:eastAsia="仿宋" w:cs="宋体"/>
                <w:color w:val="auto"/>
                <w:lang w:bidi="ar"/>
              </w:rPr>
            </w:pPr>
            <w:r>
              <w:rPr>
                <w:rFonts w:hint="eastAsia" w:ascii="仿宋" w:hAnsi="仿宋" w:eastAsia="仿宋" w:cs="宋体"/>
                <w:color w:val="auto"/>
                <w:lang w:bidi="ar"/>
              </w:rPr>
              <w:t>仓山区卫生健康局</w:t>
            </w:r>
          </w:p>
        </w:tc>
        <w:tc>
          <w:tcPr>
            <w:tcW w:w="4673" w:type="dxa"/>
          </w:tcPr>
          <w:p>
            <w:pPr>
              <w:spacing w:line="520" w:lineRule="exact"/>
              <w:jc w:val="center"/>
              <w:rPr>
                <w:rFonts w:hint="eastAsia" w:ascii="仿宋" w:hAnsi="仿宋" w:eastAsia="仿宋" w:cs="宋体"/>
                <w:color w:val="auto"/>
                <w:lang w:bidi="ar"/>
              </w:rPr>
            </w:pPr>
            <w:r>
              <w:rPr>
                <w:rFonts w:ascii="仿宋" w:hAnsi="仿宋" w:eastAsia="仿宋" w:cs="宋体"/>
                <w:color w:val="auto"/>
                <w:lang w:bidi="ar"/>
              </w:rPr>
              <w:t>902</w:t>
            </w:r>
            <w:r>
              <w:rPr>
                <w:rFonts w:hint="eastAsia" w:ascii="仿宋" w:hAnsi="仿宋" w:eastAsia="仿宋" w:cs="宋体"/>
                <w:color w:val="auto"/>
                <w:lang w:bidi="ar"/>
              </w:rPr>
              <w:t>.</w:t>
            </w:r>
            <w:r>
              <w:rPr>
                <w:rFonts w:ascii="仿宋" w:hAnsi="仿宋" w:eastAsia="仿宋" w:cs="宋体"/>
                <w:color w:val="auto"/>
                <w:lang w:bidi="ar"/>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spacing w:line="520" w:lineRule="exact"/>
              <w:jc w:val="center"/>
              <w:rPr>
                <w:rFonts w:hint="eastAsia" w:ascii="仿宋" w:hAnsi="仿宋" w:eastAsia="仿宋" w:cs="宋体"/>
                <w:b/>
                <w:bCs/>
                <w:color w:val="auto"/>
                <w:lang w:bidi="ar"/>
              </w:rPr>
            </w:pPr>
            <w:r>
              <w:rPr>
                <w:rFonts w:hint="eastAsia" w:ascii="仿宋" w:hAnsi="仿宋" w:eastAsia="仿宋" w:cs="宋体"/>
                <w:b/>
                <w:bCs/>
                <w:color w:val="auto"/>
                <w:lang w:bidi="ar"/>
              </w:rPr>
              <w:t>合计</w:t>
            </w:r>
          </w:p>
        </w:tc>
        <w:tc>
          <w:tcPr>
            <w:tcW w:w="4673" w:type="dxa"/>
          </w:tcPr>
          <w:p>
            <w:pPr>
              <w:spacing w:line="520" w:lineRule="exact"/>
              <w:jc w:val="center"/>
              <w:rPr>
                <w:rFonts w:hint="eastAsia" w:ascii="仿宋" w:hAnsi="仿宋" w:eastAsia="仿宋" w:cs="宋体"/>
                <w:b/>
                <w:bCs/>
                <w:color w:val="auto"/>
                <w:lang w:bidi="ar"/>
              </w:rPr>
            </w:pPr>
            <w:r>
              <w:rPr>
                <w:rFonts w:hint="eastAsia" w:ascii="仿宋" w:hAnsi="仿宋" w:eastAsia="仿宋" w:cs="宋体"/>
                <w:b/>
                <w:bCs/>
                <w:color w:val="auto"/>
                <w:lang w:bidi="ar"/>
              </w:rPr>
              <w:t>2,000.00</w:t>
            </w:r>
          </w:p>
        </w:tc>
      </w:tr>
      <w:bookmarkEnd w:id="4"/>
      <w:bookmarkEnd w:id="5"/>
    </w:tbl>
    <w:p>
      <w:pPr>
        <w:spacing w:line="520" w:lineRule="exact"/>
        <w:ind w:firstLine="560" w:firstLineChars="200"/>
        <w:jc w:val="both"/>
        <w:outlineLvl w:val="1"/>
        <w:rPr>
          <w:rFonts w:hint="eastAsia" w:ascii="楷体" w:hAnsi="楷体" w:eastAsia="楷体" w:cs="楷体"/>
          <w:color w:val="auto"/>
          <w:sz w:val="28"/>
          <w:szCs w:val="28"/>
        </w:rPr>
      </w:pPr>
      <w:bookmarkStart w:id="18" w:name="_Toc13054"/>
      <w:bookmarkStart w:id="19" w:name="_Toc57299259"/>
      <w:bookmarkStart w:id="20" w:name="_Toc26086"/>
      <w:bookmarkStart w:id="21" w:name="_Toc5310"/>
      <w:bookmarkStart w:id="22" w:name="_Toc186450511"/>
      <w:r>
        <w:rPr>
          <w:rFonts w:hint="eastAsia" w:ascii="楷体" w:hAnsi="楷体" w:eastAsia="楷体" w:cs="楷体"/>
          <w:color w:val="auto"/>
          <w:sz w:val="28"/>
          <w:szCs w:val="28"/>
        </w:rPr>
        <w:t>（二）项目绩效目标</w:t>
      </w:r>
      <w:bookmarkEnd w:id="18"/>
      <w:bookmarkEnd w:id="19"/>
      <w:bookmarkEnd w:id="20"/>
      <w:bookmarkEnd w:id="21"/>
      <w:bookmarkEnd w:id="22"/>
    </w:p>
    <w:p>
      <w:pPr>
        <w:spacing w:line="520" w:lineRule="exact"/>
        <w:ind w:firstLine="560" w:firstLineChars="200"/>
        <w:jc w:val="both"/>
        <w:rPr>
          <w:rFonts w:hint="eastAsia" w:ascii="仿宋" w:hAnsi="仿宋" w:eastAsia="仿宋" w:cs="宋体"/>
          <w:color w:val="auto"/>
          <w:sz w:val="28"/>
          <w:szCs w:val="28"/>
        </w:rPr>
      </w:pPr>
      <w:r>
        <w:rPr>
          <w:rFonts w:ascii="仿宋" w:hAnsi="仿宋" w:eastAsia="仿宋" w:cs="宋体"/>
          <w:color w:val="auto"/>
          <w:sz w:val="28"/>
          <w:szCs w:val="28"/>
        </w:rPr>
        <w:t>以整合自身发展潜力，引入优质的医疗资源办综合医疗服务项目为目标</w:t>
      </w:r>
      <w:r>
        <w:rPr>
          <w:rFonts w:hint="eastAsia" w:ascii="仿宋" w:hAnsi="仿宋" w:eastAsia="仿宋" w:cs="宋体"/>
          <w:color w:val="auto"/>
          <w:sz w:val="28"/>
          <w:szCs w:val="28"/>
        </w:rPr>
        <w:t>,</w:t>
      </w:r>
      <w:r>
        <w:rPr>
          <w:rFonts w:ascii="仿宋" w:hAnsi="仿宋" w:eastAsia="仿宋" w:cs="宋体"/>
          <w:color w:val="auto"/>
          <w:sz w:val="28"/>
          <w:szCs w:val="28"/>
        </w:rPr>
        <w:t>提高综合医药卫生事业的发展和防病治病服务水平，改善仓山区医疗条件，提高医疗水平，方便群众就医，减轻医疗负担，实现小病在基层解决，更好地为患者服务，为地方建设服务</w:t>
      </w:r>
      <w:r>
        <w:rPr>
          <w:rFonts w:hint="eastAsia" w:ascii="仿宋" w:hAnsi="仿宋" w:eastAsia="仿宋" w:cs="宋体"/>
          <w:color w:val="auto"/>
          <w:sz w:val="28"/>
          <w:szCs w:val="28"/>
        </w:rPr>
        <w:t>，</w:t>
      </w:r>
      <w:r>
        <w:rPr>
          <w:rFonts w:ascii="仿宋" w:hAnsi="仿宋" w:eastAsia="仿宋" w:cs="宋体"/>
          <w:color w:val="auto"/>
          <w:sz w:val="28"/>
          <w:szCs w:val="28"/>
        </w:rPr>
        <w:t>提高当地基层医疗卫生服务机构的综合素质，是提升基层医疗卫生服务水平的需要</w:t>
      </w:r>
      <w:r>
        <w:rPr>
          <w:rFonts w:hint="eastAsia" w:ascii="仿宋" w:hAnsi="仿宋" w:eastAsia="仿宋" w:cs="宋体"/>
          <w:color w:val="auto"/>
          <w:sz w:val="28"/>
          <w:szCs w:val="28"/>
        </w:rPr>
        <w:t>。</w:t>
      </w:r>
    </w:p>
    <w:p>
      <w:pPr>
        <w:spacing w:line="520" w:lineRule="exact"/>
        <w:ind w:firstLine="560" w:firstLineChars="200"/>
        <w:jc w:val="both"/>
        <w:outlineLvl w:val="0"/>
        <w:rPr>
          <w:rFonts w:hint="eastAsia" w:ascii="黑体" w:hAnsi="黑体" w:eastAsia="黑体" w:cs="黑体"/>
          <w:color w:val="auto"/>
          <w:sz w:val="28"/>
          <w:szCs w:val="28"/>
        </w:rPr>
      </w:pPr>
      <w:bookmarkStart w:id="23" w:name="_Toc7988"/>
      <w:bookmarkStart w:id="24" w:name="_Toc23110"/>
      <w:bookmarkStart w:id="25" w:name="_Toc21347"/>
      <w:bookmarkStart w:id="26" w:name="_Toc186450512"/>
      <w:bookmarkStart w:id="27" w:name="_Toc22211_WPSOffice_Level2"/>
      <w:bookmarkStart w:id="28" w:name="_Toc8942"/>
      <w:bookmarkStart w:id="29" w:name="_Toc21425_WPSOffice_Level2"/>
      <w:bookmarkStart w:id="30" w:name="_Toc108549524"/>
      <w:r>
        <w:rPr>
          <w:rFonts w:hint="eastAsia" w:ascii="黑体" w:hAnsi="黑体" w:eastAsia="黑体" w:cs="黑体"/>
          <w:color w:val="auto"/>
          <w:sz w:val="28"/>
          <w:szCs w:val="28"/>
        </w:rPr>
        <w:t>二、绩效评价工作情况</w:t>
      </w:r>
      <w:bookmarkEnd w:id="23"/>
      <w:bookmarkEnd w:id="24"/>
      <w:bookmarkEnd w:id="25"/>
      <w:bookmarkEnd w:id="26"/>
    </w:p>
    <w:p>
      <w:pPr>
        <w:spacing w:line="520" w:lineRule="exact"/>
        <w:ind w:firstLine="560" w:firstLineChars="200"/>
        <w:jc w:val="both"/>
        <w:outlineLvl w:val="1"/>
        <w:rPr>
          <w:rFonts w:hint="eastAsia" w:ascii="楷体" w:hAnsi="楷体" w:eastAsia="楷体" w:cs="楷体"/>
          <w:color w:val="auto"/>
          <w:sz w:val="28"/>
          <w:szCs w:val="28"/>
        </w:rPr>
      </w:pPr>
      <w:bookmarkStart w:id="31" w:name="_Toc186450513"/>
      <w:r>
        <w:rPr>
          <w:rFonts w:hint="eastAsia" w:ascii="楷体" w:hAnsi="楷体" w:eastAsia="楷体" w:cs="楷体"/>
          <w:color w:val="auto"/>
          <w:sz w:val="28"/>
          <w:szCs w:val="28"/>
        </w:rPr>
        <w:t>（一）</w:t>
      </w:r>
      <w:bookmarkEnd w:id="27"/>
      <w:bookmarkEnd w:id="28"/>
      <w:bookmarkEnd w:id="29"/>
      <w:r>
        <w:rPr>
          <w:rFonts w:hint="eastAsia" w:ascii="楷体" w:hAnsi="楷体" w:eastAsia="楷体" w:cs="楷体"/>
          <w:color w:val="auto"/>
          <w:sz w:val="28"/>
          <w:szCs w:val="28"/>
        </w:rPr>
        <w:t>绩效评价的目的、对象和范围</w:t>
      </w:r>
      <w:bookmarkEnd w:id="30"/>
      <w:bookmarkEnd w:id="31"/>
    </w:p>
    <w:p>
      <w:pPr>
        <w:spacing w:line="520" w:lineRule="exact"/>
        <w:ind w:firstLine="562" w:firstLineChars="200"/>
        <w:jc w:val="both"/>
        <w:rPr>
          <w:rFonts w:hint="eastAsia" w:ascii="仿宋" w:hAnsi="仿宋" w:eastAsia="仿宋" w:cs="宋体"/>
          <w:b/>
          <w:bCs/>
          <w:color w:val="auto"/>
          <w:sz w:val="28"/>
          <w:szCs w:val="28"/>
        </w:rPr>
      </w:pPr>
      <w:r>
        <w:rPr>
          <w:rFonts w:hint="eastAsia" w:ascii="仿宋" w:hAnsi="仿宋" w:eastAsia="仿宋" w:cs="宋体"/>
          <w:b/>
          <w:bCs/>
          <w:color w:val="auto"/>
          <w:sz w:val="28"/>
          <w:szCs w:val="28"/>
        </w:rPr>
        <w:t>1.绩效评价的目的</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通过运用规范的绩效评价指标体系和科学的绩效评价方法，全面、客观地评价2023年度仓山区卫生健康服务能力提升项目（债券资金）管理的科学性、资金使用的规范性和合理性、评估资金使用的效益和政策执行的效果。同时，及时分析项目管理及资金使用中存在的问题，总结经验，发现不足，并有针对性地提出合理的改善建议，进一步规范该经费项目管理，促使项目发挥更大的社会、生态和经济效益，带动项目区域社会生态健康持续快速发展，为以后年度同类项目预算编制、优化财政支出结构提供决策参考和依据。</w:t>
      </w:r>
    </w:p>
    <w:p>
      <w:pPr>
        <w:spacing w:line="520" w:lineRule="exact"/>
        <w:ind w:firstLine="562" w:firstLineChars="200"/>
        <w:jc w:val="both"/>
        <w:rPr>
          <w:rFonts w:hint="eastAsia" w:ascii="仿宋" w:hAnsi="仿宋" w:eastAsia="仿宋" w:cs="宋体"/>
          <w:b/>
          <w:bCs/>
          <w:color w:val="auto"/>
          <w:sz w:val="28"/>
          <w:szCs w:val="28"/>
        </w:rPr>
      </w:pPr>
      <w:r>
        <w:rPr>
          <w:rFonts w:hint="eastAsia" w:ascii="仿宋" w:hAnsi="仿宋" w:eastAsia="仿宋" w:cs="宋体"/>
          <w:b/>
          <w:bCs/>
          <w:color w:val="auto"/>
          <w:sz w:val="28"/>
          <w:szCs w:val="28"/>
        </w:rPr>
        <w:t>2.绩效评价的对象和范围</w:t>
      </w:r>
    </w:p>
    <w:p>
      <w:pPr>
        <w:spacing w:line="520" w:lineRule="exact"/>
        <w:ind w:firstLine="560" w:firstLineChars="200"/>
        <w:jc w:val="both"/>
        <w:rPr>
          <w:rFonts w:hint="eastAsia" w:ascii="仿宋" w:hAnsi="仿宋" w:eastAsia="仿宋" w:cs="宋体"/>
          <w:color w:val="auto"/>
          <w:sz w:val="28"/>
          <w:szCs w:val="28"/>
        </w:rPr>
      </w:pPr>
      <w:bookmarkStart w:id="32" w:name="_Toc10184"/>
      <w:bookmarkStart w:id="33" w:name="_Toc108549525"/>
      <w:r>
        <w:rPr>
          <w:rFonts w:hint="eastAsia" w:ascii="仿宋" w:hAnsi="仿宋" w:eastAsia="仿宋" w:cs="宋体"/>
          <w:color w:val="auto"/>
          <w:sz w:val="28"/>
          <w:szCs w:val="28"/>
        </w:rPr>
        <w:t>本次绩效评价主要针对仓山区卫生健康服务能力提升项目（债券资金）2023年度进展</w:t>
      </w:r>
      <w:r>
        <w:rPr>
          <w:rFonts w:hint="eastAsia" w:ascii="仿宋" w:hAnsi="仿宋" w:eastAsia="仿宋" w:cs="宋体"/>
          <w:color w:val="auto"/>
          <w:sz w:val="28"/>
          <w:szCs w:val="28"/>
          <w:lang w:eastAsia="zh-CN"/>
        </w:rPr>
        <w:t>情况及</w:t>
      </w:r>
      <w:r>
        <w:rPr>
          <w:rFonts w:hint="eastAsia" w:ascii="仿宋" w:hAnsi="仿宋" w:eastAsia="仿宋" w:cs="宋体"/>
          <w:color w:val="auto"/>
          <w:sz w:val="28"/>
          <w:szCs w:val="28"/>
        </w:rPr>
        <w:t>项目支出的决策、过程、产出和效益情况。</w:t>
      </w:r>
    </w:p>
    <w:p>
      <w:pPr>
        <w:spacing w:line="520" w:lineRule="exact"/>
        <w:ind w:firstLine="560" w:firstLineChars="200"/>
        <w:jc w:val="both"/>
        <w:outlineLvl w:val="1"/>
        <w:rPr>
          <w:rFonts w:hint="eastAsia" w:ascii="楷体" w:hAnsi="楷体" w:eastAsia="楷体" w:cs="楷体"/>
          <w:color w:val="auto"/>
          <w:sz w:val="28"/>
          <w:szCs w:val="28"/>
        </w:rPr>
      </w:pPr>
      <w:bookmarkStart w:id="34" w:name="_Toc186450514"/>
      <w:r>
        <w:rPr>
          <w:rFonts w:hint="eastAsia" w:ascii="楷体" w:hAnsi="楷体" w:eastAsia="楷体" w:cs="楷体"/>
          <w:color w:val="auto"/>
          <w:sz w:val="28"/>
          <w:szCs w:val="28"/>
        </w:rPr>
        <w:t>（二）评价依据</w:t>
      </w:r>
      <w:bookmarkEnd w:id="34"/>
    </w:p>
    <w:p>
      <w:pPr>
        <w:spacing w:line="520" w:lineRule="atLeast"/>
        <w:ind w:firstLine="560" w:firstLineChars="200"/>
        <w:jc w:val="both"/>
        <w:rPr>
          <w:rFonts w:hint="eastAsia" w:ascii="仿宋" w:hAnsi="仿宋" w:eastAsia="仿宋"/>
          <w:color w:val="auto"/>
          <w:sz w:val="28"/>
          <w:szCs w:val="28"/>
        </w:rPr>
      </w:pPr>
      <w:r>
        <w:rPr>
          <w:rFonts w:hint="eastAsia" w:ascii="仿宋" w:hAnsi="仿宋" w:eastAsia="仿宋" w:cs="宋体"/>
          <w:color w:val="auto"/>
          <w:sz w:val="28"/>
          <w:szCs w:val="28"/>
        </w:rPr>
        <w:t>（1）《中华人民共和国预算法》；</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（2）财政部《项目支出绩效评价管理办法》（财预〔2020〕10号）；</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（3）财政部关于印发《预算绩效评价共性指标体系框架的通知》（财预〔2013〕53号）；</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（4）</w:t>
      </w:r>
      <w:bookmarkEnd w:id="32"/>
      <w:bookmarkEnd w:id="33"/>
      <w:bookmarkStart w:id="35" w:name="_Toc20583"/>
      <w:bookmarkStart w:id="36" w:name="_Toc20659"/>
      <w:bookmarkStart w:id="37" w:name="_Toc23875"/>
      <w:r>
        <w:rPr>
          <w:rFonts w:hint="eastAsia" w:ascii="仿宋" w:hAnsi="仿宋" w:eastAsia="仿宋" w:cs="宋体"/>
          <w:color w:val="auto"/>
          <w:sz w:val="28"/>
          <w:szCs w:val="28"/>
        </w:rPr>
        <w:t>《中共中央国务院关于全面实施预算绩效管理的意见》(中发〔2018〕 34号)；</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（5）《福建省委 省政府关于全面实施预算绩效管理的实施意见》（闽委发〔2019〕5号）；</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（6）《福建省财政厅关于印发&lt;福建省财政支出绩效评价管理办法&gt;的通知》（闽财绩〔2015〕4号）；</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（7）</w:t>
      </w:r>
      <w:r>
        <w:rPr>
          <w:rFonts w:hint="eastAsia" w:ascii="仿宋" w:hAnsi="仿宋" w:eastAsia="仿宋" w:cs="仿宋"/>
          <w:sz w:val="28"/>
          <w:szCs w:val="28"/>
        </w:rPr>
        <w:t>《中共福州市委 福州市人民政府关于印发〈全面实施预算绩效管理的方案〉的通知》（榕委发﹝2019﹞9号）</w:t>
      </w:r>
      <w:r>
        <w:rPr>
          <w:rFonts w:hint="eastAsia" w:ascii="仿宋" w:hAnsi="仿宋" w:eastAsia="仿宋" w:cs="宋体"/>
          <w:color w:val="auto"/>
          <w:sz w:val="28"/>
          <w:szCs w:val="28"/>
        </w:rPr>
        <w:t>；</w:t>
      </w:r>
    </w:p>
    <w:p>
      <w:pPr>
        <w:spacing w:line="520" w:lineRule="exact"/>
        <w:ind w:firstLine="560" w:firstLineChars="200"/>
        <w:jc w:val="both"/>
        <w:rPr>
          <w:rFonts w:hint="eastAsia" w:ascii="仿宋" w:hAnsi="仿宋" w:eastAsia="仿宋"/>
          <w:color w:val="auto"/>
          <w:kern w:val="2"/>
          <w:sz w:val="28"/>
          <w:szCs w:val="28"/>
        </w:rPr>
      </w:pPr>
      <w:r>
        <w:rPr>
          <w:rFonts w:hint="eastAsia" w:ascii="仿宋" w:hAnsi="仿宋" w:eastAsia="仿宋" w:cs="宋体"/>
          <w:color w:val="auto"/>
          <w:sz w:val="28"/>
          <w:szCs w:val="28"/>
        </w:rPr>
        <w:t>（8）《福建省</w:t>
      </w:r>
      <w:r>
        <w:rPr>
          <w:rFonts w:hint="eastAsia" w:ascii="仿宋" w:hAnsi="仿宋" w:eastAsia="仿宋"/>
          <w:color w:val="auto"/>
          <w:kern w:val="2"/>
          <w:sz w:val="28"/>
          <w:szCs w:val="28"/>
        </w:rPr>
        <w:t>人民政府关于加强政府性债务管理的实施意见》（闽政〔2015〕55号）；</w:t>
      </w:r>
    </w:p>
    <w:p>
      <w:pPr>
        <w:spacing w:line="520" w:lineRule="exact"/>
        <w:ind w:firstLine="560" w:firstLineChars="200"/>
        <w:jc w:val="both"/>
        <w:rPr>
          <w:rFonts w:hint="eastAsia" w:ascii="仿宋" w:hAnsi="仿宋" w:eastAsia="仿宋"/>
          <w:color w:val="auto"/>
          <w:kern w:val="2"/>
          <w:sz w:val="28"/>
          <w:szCs w:val="28"/>
        </w:rPr>
      </w:pPr>
      <w:r>
        <w:rPr>
          <w:rFonts w:hint="eastAsia" w:ascii="仿宋" w:hAnsi="仿宋" w:eastAsia="仿宋"/>
          <w:color w:val="auto"/>
          <w:kern w:val="2"/>
          <w:sz w:val="28"/>
          <w:szCs w:val="28"/>
        </w:rPr>
        <w:t>（</w:t>
      </w:r>
      <w:r>
        <w:rPr>
          <w:rFonts w:ascii="仿宋" w:hAnsi="仿宋" w:eastAsia="仿宋"/>
          <w:color w:val="auto"/>
          <w:kern w:val="2"/>
          <w:sz w:val="28"/>
          <w:szCs w:val="28"/>
        </w:rPr>
        <w:t>9</w:t>
      </w:r>
      <w:r>
        <w:rPr>
          <w:rFonts w:hint="eastAsia" w:ascii="仿宋" w:hAnsi="仿宋" w:eastAsia="仿宋"/>
          <w:color w:val="auto"/>
          <w:kern w:val="2"/>
          <w:sz w:val="28"/>
          <w:szCs w:val="28"/>
        </w:rPr>
        <w:t>）福建省人民政府办公厅关于印发</w:t>
      </w:r>
      <w:r>
        <w:rPr>
          <w:rFonts w:ascii="仿宋" w:hAnsi="仿宋" w:eastAsia="仿宋"/>
          <w:color w:val="auto"/>
          <w:kern w:val="2"/>
          <w:sz w:val="28"/>
          <w:szCs w:val="28"/>
        </w:rPr>
        <w:t>《中共福建省委福建省人民政府关于进一步深化医药卫生体制改革的意见》（</w:t>
      </w:r>
      <w:r>
        <w:rPr>
          <w:rFonts w:hint="eastAsia" w:ascii="仿宋" w:hAnsi="仿宋" w:eastAsia="仿宋"/>
          <w:color w:val="auto"/>
          <w:kern w:val="2"/>
          <w:sz w:val="28"/>
          <w:szCs w:val="28"/>
        </w:rPr>
        <w:t>闽政办〔2023〕33号</w:t>
      </w:r>
      <w:r>
        <w:rPr>
          <w:rFonts w:ascii="仿宋" w:hAnsi="仿宋" w:eastAsia="仿宋"/>
          <w:color w:val="auto"/>
          <w:kern w:val="2"/>
          <w:sz w:val="28"/>
          <w:szCs w:val="28"/>
        </w:rPr>
        <w:t>）</w:t>
      </w:r>
      <w:r>
        <w:rPr>
          <w:rFonts w:hint="eastAsia" w:ascii="仿宋" w:hAnsi="仿宋" w:eastAsia="仿宋"/>
          <w:color w:val="auto"/>
          <w:kern w:val="2"/>
          <w:sz w:val="28"/>
          <w:szCs w:val="28"/>
        </w:rPr>
        <w:t>；</w:t>
      </w:r>
    </w:p>
    <w:p>
      <w:pPr>
        <w:spacing w:line="520" w:lineRule="exact"/>
        <w:ind w:firstLine="560" w:firstLineChars="200"/>
        <w:jc w:val="both"/>
        <w:rPr>
          <w:rFonts w:hint="eastAsia" w:ascii="仿宋" w:hAnsi="仿宋" w:eastAsia="仿宋"/>
          <w:color w:val="auto"/>
          <w:kern w:val="2"/>
          <w:sz w:val="28"/>
          <w:szCs w:val="28"/>
        </w:rPr>
      </w:pPr>
      <w:r>
        <w:rPr>
          <w:rFonts w:hint="eastAsia" w:ascii="仿宋" w:hAnsi="仿宋" w:eastAsia="仿宋"/>
          <w:color w:val="auto"/>
          <w:kern w:val="2"/>
          <w:sz w:val="28"/>
          <w:szCs w:val="28"/>
        </w:rPr>
        <w:t>（10）《福州市“十四五”卫生健康事业发展专项规划》（</w:t>
      </w:r>
      <w:r>
        <w:rPr>
          <w:rFonts w:ascii="仿宋" w:hAnsi="仿宋" w:eastAsia="仿宋"/>
          <w:color w:val="auto"/>
          <w:kern w:val="2"/>
          <w:sz w:val="28"/>
          <w:szCs w:val="28"/>
        </w:rPr>
        <w:t>榕政办〔2022〕68号</w:t>
      </w:r>
      <w:r>
        <w:rPr>
          <w:rFonts w:hint="eastAsia" w:ascii="仿宋" w:hAnsi="仿宋" w:eastAsia="仿宋"/>
          <w:color w:val="auto"/>
          <w:kern w:val="2"/>
          <w:sz w:val="28"/>
          <w:szCs w:val="28"/>
        </w:rPr>
        <w:t>）；</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（11）仓山区卫生健康局提供的其他相关佐证材料。</w:t>
      </w:r>
    </w:p>
    <w:p>
      <w:pPr>
        <w:spacing w:line="520" w:lineRule="exact"/>
        <w:ind w:firstLine="560" w:firstLineChars="200"/>
        <w:jc w:val="both"/>
        <w:outlineLvl w:val="1"/>
        <w:rPr>
          <w:rFonts w:hint="eastAsia" w:ascii="楷体" w:hAnsi="楷体" w:eastAsia="楷体" w:cs="楷体"/>
          <w:color w:val="auto"/>
          <w:sz w:val="28"/>
          <w:szCs w:val="28"/>
        </w:rPr>
      </w:pPr>
      <w:bookmarkStart w:id="38" w:name="_Toc186450515"/>
      <w:r>
        <w:rPr>
          <w:rFonts w:hint="eastAsia" w:ascii="楷体" w:hAnsi="楷体" w:eastAsia="楷体" w:cs="楷体"/>
          <w:color w:val="auto"/>
          <w:sz w:val="28"/>
          <w:szCs w:val="28"/>
        </w:rPr>
        <w:t>（三）绩效评价工作方案制定过程</w:t>
      </w:r>
      <w:bookmarkEnd w:id="35"/>
      <w:bookmarkEnd w:id="36"/>
      <w:bookmarkEnd w:id="37"/>
      <w:bookmarkEnd w:id="38"/>
    </w:p>
    <w:p>
      <w:pPr>
        <w:spacing w:line="520" w:lineRule="exact"/>
        <w:ind w:firstLine="562" w:firstLineChars="200"/>
        <w:jc w:val="both"/>
        <w:rPr>
          <w:rFonts w:hint="eastAsia" w:ascii="仿宋" w:hAnsi="仿宋" w:eastAsia="仿宋"/>
          <w:color w:val="auto"/>
          <w:sz w:val="28"/>
          <w:szCs w:val="28"/>
        </w:rPr>
      </w:pPr>
      <w:bookmarkStart w:id="39" w:name="_Toc4649"/>
      <w:bookmarkStart w:id="40" w:name="_Toc13368"/>
      <w:bookmarkStart w:id="41" w:name="_Toc16525"/>
      <w:r>
        <w:rPr>
          <w:rFonts w:hint="eastAsia" w:ascii="仿宋" w:hAnsi="仿宋" w:eastAsia="仿宋"/>
          <w:b/>
          <w:bCs/>
          <w:color w:val="auto"/>
          <w:sz w:val="28"/>
          <w:szCs w:val="28"/>
        </w:rPr>
        <w:t>1.前期</w:t>
      </w:r>
      <w:bookmarkEnd w:id="39"/>
      <w:bookmarkEnd w:id="40"/>
      <w:bookmarkEnd w:id="41"/>
      <w:r>
        <w:rPr>
          <w:rFonts w:hint="eastAsia" w:ascii="仿宋" w:hAnsi="仿宋" w:eastAsia="仿宋"/>
          <w:b/>
          <w:bCs/>
          <w:color w:val="auto"/>
          <w:sz w:val="28"/>
          <w:szCs w:val="28"/>
        </w:rPr>
        <w:t>准备</w:t>
      </w:r>
    </w:p>
    <w:p>
      <w:pPr>
        <w:spacing w:line="520" w:lineRule="exact"/>
        <w:ind w:firstLine="560" w:firstLineChars="200"/>
        <w:jc w:val="both"/>
        <w:rPr>
          <w:rFonts w:hint="eastAsia" w:ascii="仿宋" w:hAnsi="仿宋" w:eastAsia="仿宋" w:cs="宋体"/>
          <w:color w:val="auto"/>
          <w:kern w:val="2"/>
          <w:sz w:val="28"/>
          <w:szCs w:val="28"/>
        </w:rPr>
      </w:pPr>
      <w:r>
        <w:rPr>
          <w:rFonts w:hint="eastAsia" w:ascii="仿宋" w:hAnsi="仿宋" w:eastAsia="仿宋" w:cs="宋体"/>
          <w:color w:val="auto"/>
          <w:kern w:val="2"/>
          <w:sz w:val="28"/>
          <w:szCs w:val="28"/>
        </w:rPr>
        <w:t>为确保评价工作取得实效，福建金财恒效咨询有限公司成立了“2023年度仓山区卫生健康服务能力提升项目（债券资金）支出绩效评价小组”，负责整个绩效评价工作的监督指导和组织实施。绩效评价小组就2023年度仓山区卫生健康局该项目进行梳理，分析绩效评价的目的，明确绩效评价的内容，确定评价的关注点和评价方式。按照目的性、相关性、可操作性、定量及定性相结合原则，根据绩效评价关注点、评价需要和项目实际，从决策、过程、产出、效益四个方面构建了本次项目绩效评价的指标体系。评价小组在遵循客观性、合理性、逻辑性、明确性等原则的基础上，合理选择问卷发放的范围，并针对项目情况设计调查问卷。根据项目的实际情况，分析项目并明确访谈对象、访谈方式和访谈内容，根据评价需要，针对项目设计访谈提纲。</w:t>
      </w:r>
    </w:p>
    <w:p>
      <w:pPr>
        <w:spacing w:line="520" w:lineRule="exact"/>
        <w:ind w:firstLine="562" w:firstLineChars="200"/>
        <w:jc w:val="both"/>
        <w:rPr>
          <w:rFonts w:hint="eastAsia" w:ascii="仿宋" w:hAnsi="仿宋" w:eastAsia="仿宋"/>
          <w:b/>
          <w:bCs/>
          <w:color w:val="auto"/>
          <w:sz w:val="28"/>
          <w:szCs w:val="28"/>
        </w:rPr>
      </w:pPr>
      <w:bookmarkStart w:id="42" w:name="_Toc108447686"/>
      <w:r>
        <w:rPr>
          <w:rFonts w:hint="eastAsia" w:ascii="仿宋" w:hAnsi="仿宋" w:eastAsia="仿宋"/>
          <w:b/>
          <w:bCs/>
          <w:color w:val="auto"/>
          <w:sz w:val="28"/>
          <w:szCs w:val="28"/>
        </w:rPr>
        <w:t>2.制定方案</w:t>
      </w:r>
      <w:bookmarkEnd w:id="42"/>
    </w:p>
    <w:p>
      <w:pPr>
        <w:spacing w:line="520" w:lineRule="exact"/>
        <w:ind w:firstLine="560" w:firstLineChars="200"/>
        <w:jc w:val="both"/>
        <w:rPr>
          <w:rFonts w:hint="eastAsia" w:ascii="仿宋" w:hAnsi="仿宋" w:eastAsia="仿宋" w:cs="宋体"/>
          <w:color w:val="auto"/>
          <w:sz w:val="28"/>
          <w:szCs w:val="28"/>
        </w:rPr>
      </w:pPr>
      <w:bookmarkStart w:id="43" w:name="_Toc108447687"/>
      <w:r>
        <w:rPr>
          <w:rFonts w:hint="eastAsia" w:ascii="仿宋" w:hAnsi="仿宋" w:eastAsia="仿宋" w:cs="宋体"/>
          <w:color w:val="auto"/>
          <w:kern w:val="2"/>
          <w:sz w:val="28"/>
          <w:szCs w:val="28"/>
        </w:rPr>
        <w:t>根据仓山区财政局关于开展2023年度仓山区卫生健康服务能力提升项目（债券资金）绩效评价工作的要求，评价小组制定了《2023年度仓山区卫生健康服务能力提升项目（债券资金）支出绩效评价实施方案》，方案根据绩效评价内容从资料收集、数据填报、实地调研、绩效分析、撰写报告五个方面对绩效评价工作做了详细的安排</w:t>
      </w:r>
      <w:r>
        <w:rPr>
          <w:rFonts w:hint="eastAsia" w:ascii="仿宋" w:hAnsi="仿宋" w:eastAsia="仿宋" w:cs="宋体"/>
          <w:color w:val="auto"/>
          <w:sz w:val="28"/>
          <w:szCs w:val="28"/>
        </w:rPr>
        <w:t>。</w:t>
      </w:r>
    </w:p>
    <w:p>
      <w:pPr>
        <w:pStyle w:val="32"/>
        <w:spacing w:beforeAutospacing="0" w:afterAutospacing="0" w:line="520" w:lineRule="exact"/>
        <w:ind w:firstLine="562" w:firstLineChars="200"/>
        <w:jc w:val="both"/>
        <w:rPr>
          <w:rFonts w:hint="eastAsia" w:ascii="仿宋" w:hAnsi="仿宋" w:eastAsia="仿宋"/>
          <w:b/>
          <w:bCs/>
          <w:color w:val="auto"/>
          <w:kern w:val="2"/>
          <w:sz w:val="28"/>
          <w:szCs w:val="28"/>
        </w:rPr>
      </w:pPr>
      <w:r>
        <w:rPr>
          <w:rFonts w:hint="eastAsia" w:ascii="仿宋" w:hAnsi="仿宋" w:eastAsia="仿宋"/>
          <w:b/>
          <w:bCs/>
          <w:color w:val="auto"/>
          <w:kern w:val="2"/>
          <w:sz w:val="28"/>
          <w:szCs w:val="28"/>
        </w:rPr>
        <w:t>3.组织实施</w:t>
      </w:r>
      <w:bookmarkEnd w:id="43"/>
    </w:p>
    <w:p>
      <w:pPr>
        <w:spacing w:line="520" w:lineRule="exact"/>
        <w:ind w:firstLine="560" w:firstLineChars="200"/>
        <w:jc w:val="both"/>
        <w:rPr>
          <w:rFonts w:hint="eastAsia" w:ascii="仿宋" w:hAnsi="仿宋" w:eastAsia="仿宋" w:cs="宋体"/>
          <w:color w:val="auto"/>
          <w:sz w:val="28"/>
          <w:szCs w:val="28"/>
        </w:rPr>
      </w:pPr>
      <w:bookmarkStart w:id="44" w:name="_Toc108447688"/>
      <w:r>
        <w:rPr>
          <w:rFonts w:hint="eastAsia" w:ascii="仿宋" w:hAnsi="仿宋" w:eastAsia="仿宋" w:cs="宋体"/>
          <w:color w:val="auto"/>
          <w:sz w:val="28"/>
          <w:szCs w:val="28"/>
        </w:rPr>
        <w:t>根据绩效评价工作程序，评价小组工作人员赴主管部门、项目实施单位查阅、核实、收集绩效评价所需文件资料，了解项目基本情况、项目实施情况和项目实施效果。按照《2023年度仓山区卫生健康服务能力提升项目（债券资金）支出绩效评价实施方案》开展实地调研工作，于2024年12月对2023年度仓山区卫生健康服务能力提升项目（债券资金）进行了实地调研，主要通过听取项目情况介绍、实地进行考察、发放调查问卷、开展座谈询问、对照查证复核等方式，对项目完成情况和基础材料进行核实，掌握第一手评价资料</w:t>
      </w:r>
      <w:r>
        <w:rPr>
          <w:rFonts w:hint="eastAsia" w:ascii="仿宋" w:hAnsi="仿宋" w:eastAsia="仿宋" w:cs="宋体"/>
          <w:color w:val="auto"/>
          <w:kern w:val="2"/>
          <w:sz w:val="28"/>
          <w:szCs w:val="28"/>
        </w:rPr>
        <w:t>。</w:t>
      </w:r>
    </w:p>
    <w:p>
      <w:pPr>
        <w:pStyle w:val="32"/>
        <w:spacing w:beforeAutospacing="0" w:afterAutospacing="0" w:line="520" w:lineRule="exact"/>
        <w:ind w:firstLine="562" w:firstLineChars="200"/>
        <w:jc w:val="both"/>
        <w:rPr>
          <w:rFonts w:hint="eastAsia" w:ascii="仿宋" w:hAnsi="仿宋" w:eastAsia="仿宋"/>
          <w:b/>
          <w:bCs/>
          <w:color w:val="auto"/>
          <w:kern w:val="2"/>
          <w:sz w:val="28"/>
          <w:szCs w:val="28"/>
        </w:rPr>
      </w:pPr>
      <w:r>
        <w:rPr>
          <w:rFonts w:hint="eastAsia" w:ascii="仿宋" w:hAnsi="仿宋" w:eastAsia="仿宋"/>
          <w:b/>
          <w:bCs/>
          <w:color w:val="auto"/>
          <w:kern w:val="2"/>
          <w:sz w:val="28"/>
          <w:szCs w:val="28"/>
        </w:rPr>
        <w:t>4.撰写报告</w:t>
      </w:r>
      <w:bookmarkEnd w:id="44"/>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评价小组采用科学合理的方法对实地调研收集到的数据进行整理和分析。一是对数据进行分类。根据2023年度仓山区卫生健康局卫生健康服务能力提升项目（债券资金）绩效评价指标体系中的每项指标要求，对数据进行分类；二是对数据进行选取。从不同来源收集的资料中选取同一绩效评价指标的数据；三是对数据进行验证。对不同来源的数据进行交叉验证，剔除错误数据、无效数据；四是数据确定。在数据验证的基础上，最终确定用于绩效分析和评价的数据。评价工作小组根据查阅资料、现场勘查、问卷调查、实地访谈整理出的有效信息，对项目目标任务完成情况、资金投入和使用情况、项目实施成效等方面进行综合绩效评价。五是提炼项目亮点，找出存在的问题并对其原因进行分析，同时提出改进的意见或建议，最终通过综合评议形成评价结论，出具绩效评价报告。</w:t>
      </w:r>
    </w:p>
    <w:p>
      <w:pPr>
        <w:spacing w:line="520" w:lineRule="exact"/>
        <w:ind w:firstLine="560" w:firstLineChars="200"/>
        <w:jc w:val="both"/>
        <w:outlineLvl w:val="1"/>
        <w:rPr>
          <w:rFonts w:hint="eastAsia" w:ascii="楷体" w:hAnsi="楷体" w:eastAsia="楷体" w:cs="楷体"/>
          <w:color w:val="auto"/>
          <w:sz w:val="28"/>
          <w:szCs w:val="28"/>
        </w:rPr>
      </w:pPr>
      <w:bookmarkStart w:id="45" w:name="_Toc186450516"/>
      <w:bookmarkStart w:id="46" w:name="_Toc13017"/>
      <w:bookmarkStart w:id="47" w:name="_Toc4222"/>
      <w:bookmarkStart w:id="48" w:name="_Toc10129"/>
      <w:r>
        <w:rPr>
          <w:rFonts w:hint="eastAsia" w:ascii="楷体" w:hAnsi="楷体" w:eastAsia="楷体" w:cs="楷体"/>
          <w:color w:val="auto"/>
          <w:sz w:val="28"/>
          <w:szCs w:val="28"/>
        </w:rPr>
        <w:t>（四）绩效评价原则、评价方法</w:t>
      </w:r>
      <w:bookmarkEnd w:id="45"/>
      <w:bookmarkEnd w:id="46"/>
      <w:bookmarkEnd w:id="47"/>
      <w:bookmarkEnd w:id="48"/>
    </w:p>
    <w:p>
      <w:pPr>
        <w:pStyle w:val="32"/>
        <w:spacing w:beforeAutospacing="0" w:afterAutospacing="0" w:line="520" w:lineRule="exact"/>
        <w:ind w:firstLine="562" w:firstLineChars="200"/>
        <w:jc w:val="both"/>
        <w:rPr>
          <w:rFonts w:hint="eastAsia" w:ascii="仿宋" w:hAnsi="仿宋" w:eastAsia="仿宋"/>
          <w:b/>
          <w:bCs/>
          <w:color w:val="auto"/>
          <w:kern w:val="2"/>
          <w:sz w:val="28"/>
          <w:szCs w:val="28"/>
        </w:rPr>
      </w:pPr>
      <w:bookmarkStart w:id="49" w:name="_Toc22465"/>
      <w:bookmarkStart w:id="50" w:name="_Toc21322"/>
      <w:bookmarkStart w:id="51" w:name="_Toc31555"/>
      <w:r>
        <w:rPr>
          <w:rFonts w:hint="eastAsia" w:ascii="仿宋" w:hAnsi="仿宋" w:eastAsia="仿宋"/>
          <w:b/>
          <w:bCs/>
          <w:color w:val="auto"/>
          <w:kern w:val="2"/>
          <w:sz w:val="28"/>
          <w:szCs w:val="28"/>
        </w:rPr>
        <w:t>1.绩效评价原则</w:t>
      </w:r>
      <w:bookmarkEnd w:id="49"/>
      <w:bookmarkEnd w:id="50"/>
      <w:bookmarkEnd w:id="51"/>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本次仓山区卫生健康局卫生健康服务能力提升项目（债券资金）绩效评价为全面、真实、高质量的反映仓山区卫生健康服务能力提升项目（债券资金）财政资金使用情况，除了秉承科学规范、绩效导向、实事求是、客观公正、分级分类等绩效评价的总体原则外，其绩效评价指标的确定应当遵循以下基本原则：</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1）目的性原则。仓山区卫生健康服务能力提升项目（债券资金）绩效评价指标体系构建必须以评价的目的作为核心，即卫生健康服务能力提升项目（债券资金）使用了多少资金？使用的资金是否达到了预期目标？在确定每一个指标时，都要以评价的目的作为导向，考虑单个指标在整个指标体系中所在的位置及权重，确定指标的具体含义和范围。</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2）相关性原则。指标体系的设计必须以卫生健康服务能力提升项目（债券资金）的实际情况为基础，与评价的目的相关，选取与项目绩效评价目的关联度高的指标。构建的指标体系要与现行的办法、条例相契合，与现有的评价标准相关联。</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3）可操作性原则。在构建绩效评价指标体系时，要从实际使用的角度出发，考虑相关资料、数据的获取途径和便捷程度，还要确保所获取的资料的真实可靠性，在进行数据纵向比较时有相同的数据口径，确保所得出结论的可使用性。所以，指标在设定时要尽量选取有代表性的、重要的指标，力求简洁，避免指标体系复杂庞大。</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（4）定量与定性相结合原则。在构建指标体系时应该将定量指标与定性指标相结合，把定量指标作为主要指标，定性指标对定量指标进行补充，这样绩效评价的结果才能更加准确。</w:t>
      </w:r>
    </w:p>
    <w:p>
      <w:pPr>
        <w:pStyle w:val="32"/>
        <w:spacing w:beforeAutospacing="0" w:afterAutospacing="0" w:line="520" w:lineRule="exact"/>
        <w:ind w:firstLine="562" w:firstLineChars="200"/>
        <w:jc w:val="both"/>
        <w:rPr>
          <w:rFonts w:hint="eastAsia" w:ascii="仿宋" w:hAnsi="仿宋" w:eastAsia="仿宋"/>
          <w:b/>
          <w:bCs/>
          <w:color w:val="auto"/>
          <w:kern w:val="2"/>
          <w:sz w:val="28"/>
          <w:szCs w:val="28"/>
        </w:rPr>
      </w:pPr>
      <w:bookmarkStart w:id="52" w:name="_Toc30349"/>
      <w:bookmarkStart w:id="53" w:name="_Toc8698"/>
      <w:bookmarkStart w:id="54" w:name="_Toc6903"/>
      <w:r>
        <w:rPr>
          <w:rFonts w:hint="eastAsia" w:ascii="仿宋" w:hAnsi="仿宋" w:eastAsia="仿宋"/>
          <w:b/>
          <w:bCs/>
          <w:color w:val="auto"/>
          <w:kern w:val="2"/>
          <w:sz w:val="28"/>
          <w:szCs w:val="28"/>
        </w:rPr>
        <w:t>2.评价方法</w:t>
      </w:r>
      <w:bookmarkEnd w:id="52"/>
      <w:bookmarkEnd w:id="53"/>
      <w:bookmarkEnd w:id="54"/>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根据财政部《项目支出绩效评价管理办法》（财预〔2020〕10 号）等文件要求，参考结合仓山区卫生健康服务能力提升项目（债券资金）的实际情况，具体评价方法如下：</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（1）比较法</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通过对仓山区卫生健康服务能力提升项目（债券资金）计划目标与实际完成情况及实施前后效果对比，采取定量分析与定性分析相结合的方法，综合分析项目绩效目标的实现程度，依据分析结果进行绩效评价。</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（2）公众评判法</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公众评判法指通过专家评估、公众问卷及抽样调查等对财政支出效果进行评判，评价绩效目标实现程度。本项目通过对各个项目受益对象发放调查问卷，了解服务对象对卫生健康服务能力提升项目（债券资金）实施效果的整体满意情况。</w:t>
      </w:r>
    </w:p>
    <w:p>
      <w:pPr>
        <w:spacing w:line="520" w:lineRule="exact"/>
        <w:ind w:firstLine="560" w:firstLineChars="200"/>
        <w:jc w:val="both"/>
        <w:outlineLvl w:val="1"/>
        <w:rPr>
          <w:rFonts w:hint="eastAsia" w:ascii="楷体" w:hAnsi="楷体" w:eastAsia="楷体" w:cs="楷体"/>
          <w:color w:val="auto"/>
          <w:kern w:val="2"/>
          <w:sz w:val="28"/>
          <w:szCs w:val="28"/>
        </w:rPr>
      </w:pPr>
      <w:bookmarkStart w:id="55" w:name="_Toc186450517"/>
      <w:r>
        <w:rPr>
          <w:rFonts w:hint="eastAsia" w:ascii="楷体" w:hAnsi="楷体" w:eastAsia="楷体" w:cs="楷体"/>
          <w:color w:val="auto"/>
          <w:kern w:val="2"/>
          <w:sz w:val="28"/>
          <w:szCs w:val="28"/>
        </w:rPr>
        <w:t>（五）绩效评价的指标体系</w:t>
      </w:r>
      <w:bookmarkEnd w:id="55"/>
    </w:p>
    <w:p>
      <w:pPr>
        <w:shd w:val="clear" w:color="auto" w:fill="FFFFFF"/>
        <w:spacing w:line="520" w:lineRule="atLeas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绩效评价工作小组根据财政部、福建省财政支出绩效评价管理办法的要求，围绕决策、过程、产出和效益四个方面设计绩效评价指标、评分标准和分值。指标体系共设置4个一级指标、16个二级指标、32个三级指标。指标体系设定满分100分，其中：“决策”15分，主要体现项目立项、绩效目标和资金投入情况；“过程”25分，主要体现项目的资金管理和组织实施方面的情况；“产出”31分，主要体现产出数量、产出质量和产出时效情况；“效益”29分，主要体现项目社会效益、生态效益、可持续影响和服务对象满意度等，详见附件一《2023年度仓山区卫生健康服务能力提升项目（债券资金）支出绩效评价指标体系及得分表》。</w:t>
      </w:r>
    </w:p>
    <w:p>
      <w:pPr>
        <w:shd w:val="clear" w:color="auto" w:fill="FFFFFF"/>
        <w:spacing w:line="520" w:lineRule="atLeas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绩效评价结果采取评分和评级相结合的方式。总分设置为100分，等级划分为四档：90（含）-100分为优、80（含）-90分为良、60（含）-80分为中、60分以下为差。</w:t>
      </w:r>
    </w:p>
    <w:p>
      <w:pPr>
        <w:spacing w:line="520" w:lineRule="exact"/>
        <w:ind w:firstLine="560" w:firstLineChars="200"/>
        <w:jc w:val="both"/>
        <w:outlineLvl w:val="0"/>
        <w:rPr>
          <w:rFonts w:hint="eastAsia" w:ascii="黑体" w:hAnsi="黑体" w:eastAsia="黑体" w:cs="黑体"/>
          <w:color w:val="auto"/>
          <w:sz w:val="28"/>
          <w:szCs w:val="28"/>
        </w:rPr>
      </w:pPr>
      <w:bookmarkStart w:id="56" w:name="_Toc186450518"/>
      <w:bookmarkStart w:id="57" w:name="_Toc5250"/>
      <w:bookmarkStart w:id="58" w:name="_Toc24397"/>
      <w:bookmarkStart w:id="59" w:name="_Toc18361"/>
      <w:bookmarkStart w:id="60" w:name="_Toc24212"/>
      <w:r>
        <w:rPr>
          <w:rFonts w:hint="eastAsia" w:ascii="黑体" w:hAnsi="黑体" w:eastAsia="黑体" w:cs="黑体"/>
          <w:color w:val="auto"/>
          <w:sz w:val="28"/>
          <w:szCs w:val="28"/>
        </w:rPr>
        <w:t>三、评价结论</w:t>
      </w:r>
      <w:bookmarkEnd w:id="56"/>
      <w:bookmarkEnd w:id="57"/>
      <w:bookmarkEnd w:id="58"/>
      <w:bookmarkEnd w:id="59"/>
      <w:bookmarkEnd w:id="60"/>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本次项目绩效评价的可靠性基于仓山区卫生健康局提供的佐证材料的全面性和准确性，调研组尽可能地收集更为全面、有效、准确的文件和数据，结合现场勘查、问卷和访谈等调研实际情况尽可能做出可靠的评价结论。依据附件一《2023年度仓山区卫生健康服务能力提升项目（债券资金）支出绩效评价指标体系及得分表》”，从项目决策、项目过程、项目产出、项目效益四个方面对此项目进行全面、客观的分析评价。得分情况如表3-1：</w:t>
      </w:r>
    </w:p>
    <w:p>
      <w:pPr>
        <w:spacing w:line="520" w:lineRule="exact"/>
        <w:ind w:firstLine="422" w:firstLineChars="200"/>
        <w:jc w:val="center"/>
        <w:rPr>
          <w:rFonts w:hint="eastAsia" w:ascii="仿宋" w:hAnsi="仿宋" w:eastAsia="仿宋" w:cs="宋体"/>
          <w:b/>
          <w:bCs/>
          <w:color w:val="auto"/>
          <w:lang w:bidi="ar"/>
        </w:rPr>
      </w:pPr>
      <w:r>
        <w:rPr>
          <w:rFonts w:hint="eastAsia" w:ascii="仿宋" w:hAnsi="仿宋" w:eastAsia="仿宋" w:cs="宋体"/>
          <w:b/>
          <w:bCs/>
          <w:color w:val="auto"/>
          <w:lang w:bidi="ar"/>
        </w:rPr>
        <w:t>表3-1</w:t>
      </w:r>
      <w:r>
        <w:rPr>
          <w:rFonts w:ascii="仿宋" w:hAnsi="仿宋" w:eastAsia="仿宋" w:cs="宋体"/>
          <w:b/>
          <w:bCs/>
          <w:color w:val="auto"/>
          <w:lang w:bidi="ar"/>
        </w:rPr>
        <w:t xml:space="preserve"> </w:t>
      </w:r>
      <w:r>
        <w:rPr>
          <w:rFonts w:hint="eastAsia" w:ascii="仿宋" w:hAnsi="仿宋" w:eastAsia="仿宋" w:cs="宋体"/>
          <w:b/>
          <w:bCs/>
          <w:color w:val="auto"/>
          <w:lang w:bidi="ar"/>
        </w:rPr>
        <w:t>项目评价得分情况</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31"/>
        <w:gridCol w:w="1923"/>
        <w:gridCol w:w="1139"/>
        <w:gridCol w:w="1531"/>
        <w:gridCol w:w="1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31" w:type="dxa"/>
            <w:shd w:val="clear" w:color="auto" w:fill="auto"/>
          </w:tcPr>
          <w:p>
            <w:pPr>
              <w:spacing w:line="276" w:lineRule="auto"/>
              <w:jc w:val="both"/>
              <w:rPr>
                <w:rFonts w:hint="eastAsia" w:ascii="仿宋" w:hAnsi="仿宋" w:eastAsia="仿宋"/>
                <w:b/>
                <w:bCs/>
                <w:color w:val="auto"/>
              </w:rPr>
            </w:pPr>
            <w:r>
              <w:rPr>
                <w:rFonts w:hint="eastAsia" w:ascii="仿宋" w:hAnsi="仿宋" w:eastAsia="仿宋"/>
                <w:b/>
                <w:bCs/>
                <w:color w:val="auto"/>
              </w:rPr>
              <w:t>序号</w:t>
            </w:r>
          </w:p>
        </w:tc>
        <w:tc>
          <w:tcPr>
            <w:tcW w:w="1923" w:type="dxa"/>
            <w:shd w:val="clear" w:color="auto" w:fill="auto"/>
          </w:tcPr>
          <w:p>
            <w:pPr>
              <w:spacing w:line="276" w:lineRule="auto"/>
              <w:jc w:val="both"/>
              <w:rPr>
                <w:rFonts w:hint="eastAsia" w:ascii="仿宋" w:hAnsi="仿宋" w:eastAsia="仿宋"/>
                <w:b/>
                <w:bCs/>
                <w:color w:val="auto"/>
              </w:rPr>
            </w:pPr>
            <w:r>
              <w:rPr>
                <w:rFonts w:hint="eastAsia" w:ascii="仿宋" w:hAnsi="仿宋" w:eastAsia="仿宋"/>
                <w:b/>
                <w:bCs/>
                <w:color w:val="auto"/>
              </w:rPr>
              <w:t>评价内容</w:t>
            </w:r>
          </w:p>
        </w:tc>
        <w:tc>
          <w:tcPr>
            <w:tcW w:w="1139" w:type="dxa"/>
            <w:shd w:val="clear" w:color="auto" w:fill="auto"/>
          </w:tcPr>
          <w:p>
            <w:pPr>
              <w:spacing w:line="276" w:lineRule="auto"/>
              <w:jc w:val="both"/>
              <w:rPr>
                <w:rFonts w:hint="eastAsia" w:ascii="仿宋" w:hAnsi="仿宋" w:eastAsia="仿宋"/>
                <w:b/>
                <w:bCs/>
                <w:color w:val="auto"/>
              </w:rPr>
            </w:pPr>
            <w:r>
              <w:rPr>
                <w:rFonts w:hint="eastAsia" w:ascii="仿宋" w:hAnsi="仿宋" w:eastAsia="仿宋"/>
                <w:b/>
                <w:bCs/>
                <w:color w:val="auto"/>
              </w:rPr>
              <w:t>分值</w:t>
            </w:r>
          </w:p>
        </w:tc>
        <w:tc>
          <w:tcPr>
            <w:tcW w:w="1531" w:type="dxa"/>
            <w:shd w:val="clear" w:color="auto" w:fill="auto"/>
          </w:tcPr>
          <w:p>
            <w:pPr>
              <w:spacing w:line="276" w:lineRule="auto"/>
              <w:jc w:val="both"/>
              <w:rPr>
                <w:rFonts w:hint="eastAsia" w:ascii="仿宋" w:hAnsi="仿宋" w:eastAsia="仿宋"/>
                <w:b/>
                <w:bCs/>
                <w:color w:val="auto"/>
              </w:rPr>
            </w:pPr>
            <w:r>
              <w:rPr>
                <w:rFonts w:hint="eastAsia" w:ascii="仿宋" w:hAnsi="仿宋" w:eastAsia="仿宋"/>
                <w:b/>
                <w:bCs/>
                <w:color w:val="auto"/>
              </w:rPr>
              <w:t>得分</w:t>
            </w:r>
          </w:p>
        </w:tc>
        <w:tc>
          <w:tcPr>
            <w:tcW w:w="1531" w:type="dxa"/>
            <w:shd w:val="clear" w:color="auto" w:fill="auto"/>
          </w:tcPr>
          <w:p>
            <w:pPr>
              <w:spacing w:line="276" w:lineRule="auto"/>
              <w:jc w:val="both"/>
              <w:rPr>
                <w:rFonts w:hint="eastAsia" w:ascii="仿宋" w:hAnsi="仿宋" w:eastAsia="仿宋"/>
                <w:b/>
                <w:bCs/>
                <w:color w:val="auto"/>
              </w:rPr>
            </w:pPr>
            <w:r>
              <w:rPr>
                <w:rFonts w:hint="eastAsia" w:ascii="仿宋" w:hAnsi="仿宋" w:eastAsia="仿宋"/>
                <w:b/>
                <w:bCs/>
                <w:color w:val="auto"/>
              </w:rPr>
              <w:t>得分率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31" w:type="dxa"/>
            <w:shd w:val="clear" w:color="auto" w:fill="auto"/>
          </w:tcPr>
          <w:p>
            <w:pPr>
              <w:spacing w:line="276" w:lineRule="auto"/>
              <w:jc w:val="both"/>
              <w:rPr>
                <w:rFonts w:hint="eastAsia" w:ascii="仿宋" w:hAnsi="仿宋" w:eastAsia="仿宋"/>
                <w:color w:val="auto"/>
              </w:rPr>
            </w:pPr>
            <w:r>
              <w:rPr>
                <w:rFonts w:hint="eastAsia" w:ascii="仿宋" w:hAnsi="仿宋" w:eastAsia="仿宋"/>
                <w:color w:val="auto"/>
              </w:rPr>
              <w:t>1</w:t>
            </w:r>
          </w:p>
        </w:tc>
        <w:tc>
          <w:tcPr>
            <w:tcW w:w="1923" w:type="dxa"/>
            <w:shd w:val="clear" w:color="auto" w:fill="auto"/>
          </w:tcPr>
          <w:p>
            <w:pPr>
              <w:spacing w:line="276" w:lineRule="auto"/>
              <w:jc w:val="both"/>
              <w:rPr>
                <w:rFonts w:hint="eastAsia" w:ascii="仿宋" w:hAnsi="仿宋" w:eastAsia="仿宋"/>
                <w:color w:val="auto"/>
              </w:rPr>
            </w:pPr>
            <w:r>
              <w:rPr>
                <w:rFonts w:hint="eastAsia" w:ascii="仿宋" w:hAnsi="仿宋" w:eastAsia="仿宋"/>
                <w:color w:val="auto"/>
              </w:rPr>
              <w:t>项目决策情况</w:t>
            </w:r>
          </w:p>
        </w:tc>
        <w:tc>
          <w:tcPr>
            <w:tcW w:w="1139" w:type="dxa"/>
            <w:shd w:val="clear" w:color="auto" w:fill="auto"/>
          </w:tcPr>
          <w:p>
            <w:pPr>
              <w:spacing w:line="276" w:lineRule="auto"/>
              <w:jc w:val="both"/>
              <w:rPr>
                <w:rFonts w:hint="eastAsia" w:ascii="仿宋" w:hAnsi="仿宋" w:eastAsia="仿宋"/>
                <w:color w:val="auto"/>
              </w:rPr>
            </w:pPr>
            <w:r>
              <w:rPr>
                <w:rFonts w:hint="eastAsia" w:ascii="仿宋" w:hAnsi="仿宋" w:eastAsia="仿宋"/>
                <w:color w:val="auto"/>
              </w:rPr>
              <w:t>15</w:t>
            </w:r>
          </w:p>
        </w:tc>
        <w:tc>
          <w:tcPr>
            <w:tcW w:w="1531" w:type="dxa"/>
            <w:shd w:val="clear" w:color="auto" w:fill="auto"/>
          </w:tcPr>
          <w:p>
            <w:pPr>
              <w:spacing w:line="276" w:lineRule="auto"/>
              <w:jc w:val="both"/>
              <w:rPr>
                <w:rFonts w:hint="eastAsia" w:ascii="仿宋" w:hAnsi="仿宋" w:eastAsia="仿宋"/>
                <w:color w:val="auto"/>
              </w:rPr>
            </w:pPr>
            <w:r>
              <w:rPr>
                <w:rFonts w:hint="eastAsia" w:ascii="仿宋" w:hAnsi="仿宋" w:eastAsia="仿宋"/>
                <w:color w:val="auto"/>
              </w:rPr>
              <w:t>12</w:t>
            </w:r>
          </w:p>
        </w:tc>
        <w:tc>
          <w:tcPr>
            <w:tcW w:w="1531" w:type="dxa"/>
            <w:shd w:val="clear" w:color="auto" w:fill="auto"/>
            <w:vAlign w:val="bottom"/>
          </w:tcPr>
          <w:p>
            <w:pPr>
              <w:jc w:val="both"/>
              <w:rPr>
                <w:rFonts w:hint="eastAsia" w:ascii="仿宋" w:hAnsi="仿宋" w:eastAsia="仿宋"/>
                <w:color w:val="auto"/>
              </w:rPr>
            </w:pPr>
            <w:r>
              <w:rPr>
                <w:rFonts w:hint="eastAsia" w:ascii="仿宋" w:hAnsi="仿宋" w:eastAsia="仿宋"/>
                <w:color w:val="auto"/>
              </w:rPr>
              <w:t>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31" w:type="dxa"/>
            <w:shd w:val="clear" w:color="auto" w:fill="auto"/>
          </w:tcPr>
          <w:p>
            <w:pPr>
              <w:spacing w:line="276" w:lineRule="auto"/>
              <w:jc w:val="both"/>
              <w:rPr>
                <w:rFonts w:hint="eastAsia" w:ascii="仿宋" w:hAnsi="仿宋" w:eastAsia="仿宋"/>
                <w:color w:val="auto"/>
              </w:rPr>
            </w:pPr>
            <w:r>
              <w:rPr>
                <w:rFonts w:hint="eastAsia" w:ascii="仿宋" w:hAnsi="仿宋" w:eastAsia="仿宋"/>
                <w:color w:val="auto"/>
              </w:rPr>
              <w:t>2</w:t>
            </w:r>
          </w:p>
        </w:tc>
        <w:tc>
          <w:tcPr>
            <w:tcW w:w="1923" w:type="dxa"/>
            <w:shd w:val="clear" w:color="auto" w:fill="auto"/>
          </w:tcPr>
          <w:p>
            <w:pPr>
              <w:spacing w:line="276" w:lineRule="auto"/>
              <w:jc w:val="both"/>
              <w:rPr>
                <w:rFonts w:hint="eastAsia" w:ascii="仿宋" w:hAnsi="仿宋" w:eastAsia="仿宋"/>
                <w:color w:val="auto"/>
              </w:rPr>
            </w:pPr>
            <w:r>
              <w:rPr>
                <w:rFonts w:hint="eastAsia" w:ascii="仿宋" w:hAnsi="仿宋" w:eastAsia="仿宋"/>
                <w:color w:val="auto"/>
              </w:rPr>
              <w:t>项目过程情况</w:t>
            </w:r>
          </w:p>
        </w:tc>
        <w:tc>
          <w:tcPr>
            <w:tcW w:w="1139" w:type="dxa"/>
            <w:shd w:val="clear" w:color="auto" w:fill="auto"/>
          </w:tcPr>
          <w:p>
            <w:pPr>
              <w:spacing w:line="276" w:lineRule="auto"/>
              <w:jc w:val="both"/>
              <w:rPr>
                <w:rFonts w:hint="eastAsia" w:ascii="仿宋" w:hAnsi="仿宋" w:eastAsia="仿宋"/>
                <w:color w:val="auto"/>
              </w:rPr>
            </w:pPr>
            <w:r>
              <w:rPr>
                <w:rFonts w:hint="eastAsia" w:ascii="仿宋" w:hAnsi="仿宋" w:eastAsia="仿宋"/>
                <w:color w:val="auto"/>
              </w:rPr>
              <w:t>25</w:t>
            </w:r>
          </w:p>
        </w:tc>
        <w:tc>
          <w:tcPr>
            <w:tcW w:w="1531" w:type="dxa"/>
            <w:shd w:val="clear" w:color="auto" w:fill="auto"/>
          </w:tcPr>
          <w:p>
            <w:pPr>
              <w:spacing w:line="276" w:lineRule="auto"/>
              <w:jc w:val="both"/>
              <w:rPr>
                <w:rFonts w:hint="eastAsia" w:ascii="仿宋" w:hAnsi="仿宋" w:eastAsia="仿宋"/>
                <w:color w:val="auto"/>
              </w:rPr>
            </w:pPr>
            <w:r>
              <w:rPr>
                <w:rFonts w:hint="eastAsia" w:ascii="仿宋" w:hAnsi="仿宋" w:eastAsia="仿宋"/>
                <w:color w:val="auto"/>
              </w:rPr>
              <w:t>15</w:t>
            </w:r>
          </w:p>
        </w:tc>
        <w:tc>
          <w:tcPr>
            <w:tcW w:w="1531" w:type="dxa"/>
            <w:shd w:val="clear" w:color="auto" w:fill="auto"/>
            <w:vAlign w:val="bottom"/>
          </w:tcPr>
          <w:p>
            <w:pPr>
              <w:jc w:val="both"/>
              <w:rPr>
                <w:rFonts w:hint="eastAsia" w:ascii="仿宋" w:hAnsi="仿宋" w:eastAsia="仿宋"/>
                <w:color w:val="auto"/>
              </w:rPr>
            </w:pPr>
            <w:r>
              <w:rPr>
                <w:rFonts w:hint="eastAsia" w:ascii="仿宋" w:hAnsi="仿宋" w:eastAsia="仿宋"/>
                <w:color w:val="auto"/>
              </w:rPr>
              <w:t>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31" w:type="dxa"/>
            <w:shd w:val="clear" w:color="auto" w:fill="auto"/>
          </w:tcPr>
          <w:p>
            <w:pPr>
              <w:spacing w:line="276" w:lineRule="auto"/>
              <w:jc w:val="both"/>
              <w:rPr>
                <w:rFonts w:hint="eastAsia" w:ascii="仿宋" w:hAnsi="仿宋" w:eastAsia="仿宋"/>
                <w:color w:val="auto"/>
              </w:rPr>
            </w:pPr>
            <w:r>
              <w:rPr>
                <w:rFonts w:hint="eastAsia" w:ascii="仿宋" w:hAnsi="仿宋" w:eastAsia="仿宋"/>
                <w:color w:val="auto"/>
              </w:rPr>
              <w:t>3</w:t>
            </w:r>
          </w:p>
        </w:tc>
        <w:tc>
          <w:tcPr>
            <w:tcW w:w="1923" w:type="dxa"/>
            <w:shd w:val="clear" w:color="auto" w:fill="auto"/>
          </w:tcPr>
          <w:p>
            <w:pPr>
              <w:spacing w:line="276" w:lineRule="auto"/>
              <w:jc w:val="both"/>
              <w:rPr>
                <w:rFonts w:hint="eastAsia" w:ascii="仿宋" w:hAnsi="仿宋" w:eastAsia="仿宋"/>
                <w:color w:val="auto"/>
              </w:rPr>
            </w:pPr>
            <w:r>
              <w:rPr>
                <w:rFonts w:hint="eastAsia" w:ascii="仿宋" w:hAnsi="仿宋" w:eastAsia="仿宋"/>
                <w:color w:val="auto"/>
              </w:rPr>
              <w:t>项目产出情况</w:t>
            </w:r>
          </w:p>
        </w:tc>
        <w:tc>
          <w:tcPr>
            <w:tcW w:w="1139" w:type="dxa"/>
            <w:shd w:val="clear" w:color="auto" w:fill="auto"/>
          </w:tcPr>
          <w:p>
            <w:pPr>
              <w:spacing w:line="276" w:lineRule="auto"/>
              <w:jc w:val="both"/>
              <w:rPr>
                <w:rFonts w:hint="eastAsia" w:ascii="仿宋" w:hAnsi="仿宋" w:eastAsia="仿宋"/>
                <w:color w:val="auto"/>
              </w:rPr>
            </w:pPr>
            <w:r>
              <w:rPr>
                <w:rFonts w:ascii="仿宋" w:hAnsi="仿宋" w:eastAsia="仿宋"/>
                <w:color w:val="auto"/>
              </w:rPr>
              <w:t>3</w:t>
            </w:r>
            <w:r>
              <w:rPr>
                <w:rFonts w:hint="eastAsia" w:ascii="仿宋" w:hAnsi="仿宋" w:eastAsia="仿宋"/>
                <w:color w:val="auto"/>
              </w:rPr>
              <w:t>1</w:t>
            </w:r>
          </w:p>
        </w:tc>
        <w:tc>
          <w:tcPr>
            <w:tcW w:w="1531" w:type="dxa"/>
            <w:shd w:val="clear" w:color="auto" w:fill="auto"/>
          </w:tcPr>
          <w:p>
            <w:pPr>
              <w:spacing w:line="276" w:lineRule="auto"/>
              <w:jc w:val="both"/>
              <w:rPr>
                <w:rFonts w:hint="eastAsia" w:ascii="仿宋" w:hAnsi="仿宋" w:eastAsia="仿宋"/>
                <w:color w:val="auto"/>
              </w:rPr>
            </w:pPr>
            <w:r>
              <w:rPr>
                <w:rFonts w:hint="eastAsia" w:ascii="仿宋" w:hAnsi="仿宋" w:eastAsia="仿宋"/>
                <w:color w:val="auto"/>
              </w:rPr>
              <w:t>28.45</w:t>
            </w:r>
          </w:p>
        </w:tc>
        <w:tc>
          <w:tcPr>
            <w:tcW w:w="1531" w:type="dxa"/>
            <w:shd w:val="clear" w:color="auto" w:fill="auto"/>
            <w:vAlign w:val="bottom"/>
          </w:tcPr>
          <w:p>
            <w:pPr>
              <w:jc w:val="both"/>
              <w:rPr>
                <w:rFonts w:hint="eastAsia" w:ascii="仿宋" w:hAnsi="仿宋" w:eastAsia="仿宋"/>
                <w:color w:val="auto"/>
              </w:rPr>
            </w:pPr>
            <w:r>
              <w:rPr>
                <w:rFonts w:hint="eastAsia" w:ascii="仿宋" w:hAnsi="仿宋" w:eastAsia="仿宋"/>
                <w:color w:val="auto"/>
              </w:rPr>
              <w:t>91.77%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31" w:type="dxa"/>
            <w:shd w:val="clear" w:color="auto" w:fill="auto"/>
          </w:tcPr>
          <w:p>
            <w:pPr>
              <w:spacing w:line="276" w:lineRule="auto"/>
              <w:jc w:val="both"/>
              <w:rPr>
                <w:rFonts w:hint="eastAsia" w:ascii="仿宋" w:hAnsi="仿宋" w:eastAsia="仿宋"/>
                <w:color w:val="auto"/>
              </w:rPr>
            </w:pPr>
            <w:r>
              <w:rPr>
                <w:rFonts w:hint="eastAsia" w:ascii="仿宋" w:hAnsi="仿宋" w:eastAsia="仿宋"/>
                <w:color w:val="auto"/>
              </w:rPr>
              <w:t>4</w:t>
            </w:r>
          </w:p>
        </w:tc>
        <w:tc>
          <w:tcPr>
            <w:tcW w:w="1923" w:type="dxa"/>
            <w:shd w:val="clear" w:color="auto" w:fill="auto"/>
          </w:tcPr>
          <w:p>
            <w:pPr>
              <w:spacing w:line="276" w:lineRule="auto"/>
              <w:jc w:val="both"/>
              <w:rPr>
                <w:rFonts w:hint="eastAsia" w:ascii="仿宋" w:hAnsi="仿宋" w:eastAsia="仿宋"/>
                <w:color w:val="auto"/>
              </w:rPr>
            </w:pPr>
            <w:r>
              <w:rPr>
                <w:rFonts w:hint="eastAsia" w:ascii="仿宋" w:hAnsi="仿宋" w:eastAsia="仿宋"/>
                <w:color w:val="auto"/>
              </w:rPr>
              <w:t>项目效益情况</w:t>
            </w:r>
          </w:p>
        </w:tc>
        <w:tc>
          <w:tcPr>
            <w:tcW w:w="1139" w:type="dxa"/>
            <w:shd w:val="clear" w:color="auto" w:fill="auto"/>
          </w:tcPr>
          <w:p>
            <w:pPr>
              <w:spacing w:line="276" w:lineRule="auto"/>
              <w:jc w:val="both"/>
              <w:rPr>
                <w:rFonts w:hint="eastAsia" w:ascii="仿宋" w:hAnsi="仿宋" w:eastAsia="仿宋"/>
                <w:color w:val="auto"/>
              </w:rPr>
            </w:pPr>
            <w:r>
              <w:rPr>
                <w:rFonts w:hint="eastAsia" w:ascii="仿宋" w:hAnsi="仿宋" w:eastAsia="仿宋"/>
                <w:color w:val="auto"/>
              </w:rPr>
              <w:t>29</w:t>
            </w:r>
          </w:p>
        </w:tc>
        <w:tc>
          <w:tcPr>
            <w:tcW w:w="1531" w:type="dxa"/>
            <w:shd w:val="clear" w:color="auto" w:fill="auto"/>
          </w:tcPr>
          <w:p>
            <w:pPr>
              <w:spacing w:line="276" w:lineRule="auto"/>
              <w:jc w:val="both"/>
              <w:rPr>
                <w:rFonts w:hint="eastAsia" w:ascii="仿宋" w:hAnsi="仿宋" w:eastAsia="仿宋"/>
                <w:color w:val="auto"/>
              </w:rPr>
            </w:pPr>
            <w:r>
              <w:rPr>
                <w:rFonts w:hint="eastAsia" w:ascii="仿宋" w:hAnsi="仿宋" w:eastAsia="仿宋"/>
                <w:color w:val="auto"/>
              </w:rPr>
              <w:t>26.57</w:t>
            </w:r>
          </w:p>
        </w:tc>
        <w:tc>
          <w:tcPr>
            <w:tcW w:w="1531" w:type="dxa"/>
            <w:shd w:val="clear" w:color="auto" w:fill="auto"/>
            <w:vAlign w:val="bottom"/>
          </w:tcPr>
          <w:p>
            <w:pPr>
              <w:jc w:val="both"/>
              <w:rPr>
                <w:rFonts w:hint="eastAsia" w:ascii="仿宋" w:hAnsi="仿宋" w:eastAsia="仿宋"/>
                <w:color w:val="auto"/>
              </w:rPr>
            </w:pPr>
            <w:r>
              <w:rPr>
                <w:rFonts w:hint="eastAsia" w:ascii="仿宋" w:hAnsi="仿宋" w:eastAsia="仿宋"/>
                <w:color w:val="auto"/>
              </w:rPr>
              <w:t>91.62%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jc w:val="center"/>
        </w:trPr>
        <w:tc>
          <w:tcPr>
            <w:tcW w:w="3454" w:type="dxa"/>
            <w:gridSpan w:val="2"/>
            <w:shd w:val="clear" w:color="auto" w:fill="auto"/>
          </w:tcPr>
          <w:p>
            <w:pPr>
              <w:spacing w:line="276" w:lineRule="auto"/>
              <w:jc w:val="both"/>
              <w:rPr>
                <w:rFonts w:hint="eastAsia" w:ascii="仿宋" w:hAnsi="仿宋" w:eastAsia="仿宋"/>
                <w:b/>
                <w:bCs/>
                <w:color w:val="auto"/>
              </w:rPr>
            </w:pPr>
            <w:r>
              <w:rPr>
                <w:rFonts w:hint="eastAsia" w:ascii="仿宋" w:hAnsi="仿宋" w:eastAsia="仿宋"/>
                <w:b/>
                <w:bCs/>
                <w:color w:val="auto"/>
              </w:rPr>
              <w:t>合计</w:t>
            </w:r>
          </w:p>
        </w:tc>
        <w:tc>
          <w:tcPr>
            <w:tcW w:w="1139" w:type="dxa"/>
            <w:shd w:val="clear" w:color="auto" w:fill="auto"/>
          </w:tcPr>
          <w:p>
            <w:pPr>
              <w:spacing w:line="276" w:lineRule="auto"/>
              <w:jc w:val="both"/>
              <w:rPr>
                <w:rFonts w:hint="eastAsia" w:ascii="仿宋" w:hAnsi="仿宋" w:eastAsia="仿宋"/>
                <w:b/>
                <w:bCs/>
                <w:color w:val="auto"/>
              </w:rPr>
            </w:pPr>
            <w:r>
              <w:rPr>
                <w:rFonts w:hint="eastAsia" w:ascii="仿宋" w:hAnsi="仿宋" w:eastAsia="仿宋"/>
                <w:b/>
                <w:bCs/>
                <w:color w:val="auto"/>
              </w:rPr>
              <w:t>100</w:t>
            </w:r>
          </w:p>
        </w:tc>
        <w:tc>
          <w:tcPr>
            <w:tcW w:w="1531" w:type="dxa"/>
            <w:shd w:val="clear" w:color="auto" w:fill="auto"/>
          </w:tcPr>
          <w:p>
            <w:pPr>
              <w:spacing w:line="276" w:lineRule="auto"/>
              <w:jc w:val="both"/>
              <w:rPr>
                <w:rFonts w:hint="eastAsia" w:ascii="仿宋" w:hAnsi="仿宋" w:eastAsia="仿宋"/>
                <w:b/>
                <w:bCs/>
                <w:color w:val="auto"/>
              </w:rPr>
            </w:pPr>
            <w:r>
              <w:rPr>
                <w:rFonts w:hint="eastAsia" w:ascii="仿宋" w:hAnsi="仿宋" w:eastAsia="仿宋"/>
                <w:b/>
                <w:bCs/>
                <w:color w:val="auto"/>
              </w:rPr>
              <w:t>82.02</w:t>
            </w:r>
          </w:p>
        </w:tc>
        <w:tc>
          <w:tcPr>
            <w:tcW w:w="1531" w:type="dxa"/>
            <w:shd w:val="clear" w:color="auto" w:fill="auto"/>
          </w:tcPr>
          <w:p>
            <w:pPr>
              <w:spacing w:line="276" w:lineRule="auto"/>
              <w:jc w:val="both"/>
              <w:rPr>
                <w:rFonts w:hint="eastAsia" w:ascii="仿宋" w:hAnsi="仿宋" w:eastAsia="仿宋"/>
                <w:b/>
                <w:bCs/>
                <w:color w:val="auto"/>
              </w:rPr>
            </w:pPr>
            <w:r>
              <w:rPr>
                <w:rFonts w:hint="eastAsia" w:ascii="仿宋" w:hAnsi="仿宋" w:eastAsia="仿宋"/>
                <w:b/>
                <w:bCs/>
                <w:color w:val="auto"/>
              </w:rPr>
              <w:t>82.02%</w:t>
            </w:r>
          </w:p>
        </w:tc>
      </w:tr>
    </w:tbl>
    <w:p>
      <w:pPr>
        <w:jc w:val="both"/>
        <w:rPr>
          <w:color w:val="auto"/>
        </w:rPr>
      </w:pP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评价结果：2023年度仓山区卫生健康局卫生健康服务能力提升项目（债券资金）绩效评价综合得分为82.02分，项目绩效评价等级为“良”。</w:t>
      </w:r>
    </w:p>
    <w:p>
      <w:pPr>
        <w:spacing w:line="520" w:lineRule="exact"/>
        <w:ind w:firstLine="560" w:firstLineChars="200"/>
        <w:jc w:val="both"/>
        <w:outlineLvl w:val="0"/>
        <w:rPr>
          <w:rFonts w:hint="eastAsia" w:ascii="黑体" w:hAnsi="黑体" w:eastAsia="黑体" w:cs="黑体"/>
          <w:color w:val="auto"/>
          <w:sz w:val="28"/>
          <w:szCs w:val="28"/>
        </w:rPr>
      </w:pPr>
      <w:bookmarkStart w:id="61" w:name="_Toc186450519"/>
      <w:bookmarkStart w:id="62" w:name="_Toc108549528"/>
      <w:r>
        <w:rPr>
          <w:rFonts w:hint="eastAsia" w:ascii="黑体" w:hAnsi="黑体" w:eastAsia="黑体" w:cs="黑体"/>
          <w:color w:val="auto"/>
          <w:sz w:val="28"/>
          <w:szCs w:val="28"/>
        </w:rPr>
        <w:t>四、绩效评价指标分析</w:t>
      </w:r>
      <w:bookmarkEnd w:id="61"/>
      <w:bookmarkEnd w:id="62"/>
    </w:p>
    <w:p>
      <w:pPr>
        <w:spacing w:line="520" w:lineRule="exact"/>
        <w:ind w:firstLine="560" w:firstLineChars="200"/>
        <w:jc w:val="both"/>
        <w:outlineLvl w:val="1"/>
        <w:rPr>
          <w:rFonts w:hint="eastAsia" w:ascii="楷体" w:hAnsi="楷体" w:eastAsia="楷体" w:cs="楷体"/>
          <w:color w:val="auto"/>
          <w:sz w:val="28"/>
          <w:szCs w:val="28"/>
        </w:rPr>
      </w:pPr>
      <w:bookmarkStart w:id="63" w:name="_Toc186450520"/>
      <w:bookmarkStart w:id="64" w:name="_Toc108549529"/>
      <w:r>
        <w:rPr>
          <w:rFonts w:hint="eastAsia" w:ascii="楷体" w:hAnsi="楷体" w:eastAsia="楷体" w:cs="楷体"/>
          <w:color w:val="auto"/>
          <w:sz w:val="28"/>
          <w:szCs w:val="28"/>
        </w:rPr>
        <w:t>（一）项目决策情况（满分15分，得分12分）</w:t>
      </w:r>
      <w:bookmarkEnd w:id="63"/>
      <w:bookmarkEnd w:id="64"/>
    </w:p>
    <w:p>
      <w:pPr>
        <w:pStyle w:val="15"/>
        <w:adjustRightInd w:val="0"/>
        <w:snapToGrid w:val="0"/>
        <w:spacing w:line="520" w:lineRule="exact"/>
        <w:ind w:firstLine="562"/>
        <w:rPr>
          <w:rFonts w:hint="eastAsia" w:ascii="仿宋" w:hAnsi="仿宋" w:eastAsia="仿宋" w:cs="宋体"/>
          <w:b/>
          <w:bCs/>
          <w:szCs w:val="28"/>
        </w:rPr>
      </w:pPr>
      <w:r>
        <w:rPr>
          <w:rFonts w:hint="eastAsia" w:ascii="仿宋" w:hAnsi="仿宋" w:eastAsia="仿宋" w:cs="宋体"/>
          <w:b/>
          <w:bCs/>
          <w:szCs w:val="28"/>
        </w:rPr>
        <w:t>1.</w:t>
      </w:r>
      <w:r>
        <w:rPr>
          <w:rFonts w:hint="eastAsia"/>
        </w:rPr>
        <w:t xml:space="preserve"> </w:t>
      </w:r>
      <w:r>
        <w:rPr>
          <w:rFonts w:hint="eastAsia" w:ascii="仿宋" w:hAnsi="仿宋" w:eastAsia="仿宋" w:cs="宋体"/>
          <w:b/>
          <w:bCs/>
          <w:szCs w:val="28"/>
        </w:rPr>
        <w:t>项目决策（满分6分，得分6分）</w:t>
      </w:r>
    </w:p>
    <w:p>
      <w:pPr>
        <w:pStyle w:val="15"/>
        <w:adjustRightInd w:val="0"/>
        <w:snapToGrid w:val="0"/>
        <w:spacing w:line="520" w:lineRule="exact"/>
        <w:ind w:firstLine="562"/>
        <w:rPr>
          <w:rFonts w:hint="eastAsia" w:ascii="仿宋" w:hAnsi="仿宋" w:eastAsia="仿宋" w:cs="Calibri"/>
          <w:b/>
          <w:bCs/>
          <w:szCs w:val="28"/>
        </w:rPr>
      </w:pPr>
      <w:r>
        <w:rPr>
          <w:rFonts w:hint="eastAsia" w:ascii="仿宋" w:hAnsi="仿宋" w:eastAsia="仿宋" w:cs="Calibri"/>
          <w:b/>
          <w:bCs/>
          <w:szCs w:val="28"/>
        </w:rPr>
        <w:t>（1）决策依据充分性（得分4分）</w:t>
      </w:r>
    </w:p>
    <w:p>
      <w:pPr>
        <w:pStyle w:val="15"/>
        <w:adjustRightInd w:val="0"/>
        <w:snapToGrid w:val="0"/>
        <w:spacing w:line="520" w:lineRule="exact"/>
        <w:rPr>
          <w:rFonts w:hint="eastAsia" w:ascii="仿宋" w:hAnsi="仿宋" w:eastAsia="仿宋" w:cs="宋体"/>
          <w:szCs w:val="28"/>
        </w:rPr>
      </w:pPr>
      <w:r>
        <w:rPr>
          <w:rFonts w:hint="eastAsia" w:ascii="仿宋" w:hAnsi="仿宋" w:eastAsia="仿宋" w:cs="宋体"/>
          <w:szCs w:val="28"/>
        </w:rPr>
        <w:t>立项依据充分性指标主要评价项目立项是否符合法律法规、相关政策和部门职责，用以反映和考核项目立项依据情况。</w:t>
      </w:r>
    </w:p>
    <w:p>
      <w:pPr>
        <w:spacing w:line="520" w:lineRule="exact"/>
        <w:ind w:firstLine="560" w:firstLineChars="200"/>
        <w:jc w:val="both"/>
        <w:rPr>
          <w:rFonts w:hint="eastAsia" w:ascii="仿宋" w:hAnsi="仿宋" w:eastAsia="仿宋" w:cs="宋体"/>
          <w:color w:val="auto"/>
          <w:sz w:val="28"/>
          <w:szCs w:val="28"/>
        </w:rPr>
      </w:pPr>
      <w:r>
        <w:rPr>
          <w:rFonts w:ascii="仿宋" w:hAnsi="仿宋" w:eastAsia="仿宋" w:cs="宋体"/>
          <w:color w:val="auto"/>
          <w:sz w:val="28"/>
          <w:szCs w:val="28"/>
        </w:rPr>
        <w:t>根据《中共福建省委福建省人民政府关于进一步深化医药卫生体制改革的意见》“十四五”期间，</w:t>
      </w:r>
      <w:r>
        <w:rPr>
          <w:rFonts w:hint="eastAsia" w:ascii="仿宋" w:hAnsi="仿宋" w:eastAsia="仿宋" w:cs="宋体"/>
          <w:color w:val="auto"/>
          <w:sz w:val="28"/>
          <w:szCs w:val="28"/>
        </w:rPr>
        <w:t>需</w:t>
      </w:r>
      <w:r>
        <w:rPr>
          <w:rFonts w:ascii="仿宋" w:hAnsi="仿宋" w:eastAsia="仿宋" w:cs="宋体"/>
          <w:color w:val="auto"/>
          <w:sz w:val="28"/>
          <w:szCs w:val="28"/>
        </w:rPr>
        <w:t>加快建立适应时代要求、体现福建特点的卫生健康服务体系，基本医疗卫生服务水平逐步提高，主要健康指标保持全国前列</w:t>
      </w:r>
      <w:r>
        <w:rPr>
          <w:rFonts w:hint="eastAsia" w:ascii="仿宋" w:hAnsi="仿宋" w:eastAsia="仿宋" w:cs="宋体"/>
          <w:color w:val="auto"/>
          <w:sz w:val="28"/>
          <w:szCs w:val="28"/>
        </w:rPr>
        <w:t>，</w:t>
      </w:r>
      <w:r>
        <w:rPr>
          <w:rFonts w:ascii="仿宋" w:hAnsi="仿宋" w:eastAsia="仿宋" w:cs="宋体"/>
          <w:color w:val="auto"/>
          <w:sz w:val="28"/>
          <w:szCs w:val="28"/>
        </w:rPr>
        <w:t>加强社区卫生服务中心、乡镇卫生院和村卫生所标准化建设，抓紧补齐发热诊室（门诊）、院前急救与转运等短板，服务人口8万以上的社区服务中心或乡镇卫生院达到国家推荐标准，实现小病在基层解决</w:t>
      </w:r>
      <w:r>
        <w:rPr>
          <w:rFonts w:hint="eastAsia" w:ascii="仿宋" w:hAnsi="仿宋" w:eastAsia="仿宋" w:cs="宋体"/>
          <w:color w:val="auto"/>
          <w:sz w:val="28"/>
          <w:szCs w:val="28"/>
        </w:rPr>
        <w:t>。</w:t>
      </w:r>
      <w:r>
        <w:rPr>
          <w:rFonts w:ascii="仿宋" w:hAnsi="仿宋" w:eastAsia="仿宋" w:cs="宋体"/>
          <w:color w:val="auto"/>
          <w:sz w:val="28"/>
          <w:szCs w:val="28"/>
        </w:rPr>
        <w:t>项目的建设充分符合国家关于医疗体制改革措施、国家关于健全公共卫生服务体系，是仓山当地落实国家提出的医疗事业改革相关政策的重大举措。</w:t>
      </w:r>
      <w:r>
        <w:rPr>
          <w:rFonts w:hint="eastAsia" w:ascii="仿宋" w:hAnsi="仿宋" w:eastAsia="仿宋" w:cs="宋体"/>
          <w:color w:val="auto"/>
          <w:sz w:val="28"/>
          <w:szCs w:val="28"/>
        </w:rPr>
        <w:t>因此项目建设具有必要性。</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根据《</w:t>
      </w:r>
      <w:r>
        <w:rPr>
          <w:rFonts w:ascii="仿宋" w:hAnsi="仿宋" w:eastAsia="仿宋" w:cs="宋体"/>
          <w:color w:val="auto"/>
          <w:sz w:val="28"/>
          <w:szCs w:val="28"/>
        </w:rPr>
        <w:t>福州市仓山区发展和改革局关于仓山区卫生健康服务能力提升项目建议书的复函</w:t>
      </w:r>
      <w:r>
        <w:rPr>
          <w:rFonts w:hint="eastAsia" w:ascii="仿宋" w:hAnsi="仿宋" w:eastAsia="仿宋" w:cs="宋体"/>
          <w:color w:val="auto"/>
          <w:sz w:val="28"/>
          <w:szCs w:val="28"/>
        </w:rPr>
        <w:t>》（</w:t>
      </w:r>
      <w:r>
        <w:rPr>
          <w:rFonts w:ascii="仿宋" w:hAnsi="仿宋" w:eastAsia="仿宋" w:cs="宋体"/>
          <w:color w:val="auto"/>
          <w:sz w:val="28"/>
          <w:szCs w:val="28"/>
        </w:rPr>
        <w:t>仓发改审批〔2022</w:t>
      </w:r>
      <w:r>
        <w:rPr>
          <w:rFonts w:hint="eastAsia" w:ascii="仿宋" w:hAnsi="仿宋" w:eastAsia="仿宋" w:cs="宋体"/>
          <w:color w:val="auto"/>
          <w:sz w:val="28"/>
          <w:szCs w:val="28"/>
        </w:rPr>
        <w:t>〕</w:t>
      </w:r>
      <w:r>
        <w:rPr>
          <w:rFonts w:ascii="仿宋" w:hAnsi="仿宋" w:eastAsia="仿宋" w:cs="宋体"/>
          <w:color w:val="auto"/>
          <w:sz w:val="28"/>
          <w:szCs w:val="28"/>
        </w:rPr>
        <w:t>61号</w:t>
      </w:r>
      <w:r>
        <w:rPr>
          <w:rFonts w:hint="eastAsia" w:ascii="仿宋" w:hAnsi="仿宋" w:eastAsia="仿宋" w:cs="宋体"/>
          <w:color w:val="auto"/>
          <w:sz w:val="28"/>
          <w:szCs w:val="28"/>
        </w:rPr>
        <w:t>）、《</w:t>
      </w:r>
      <w:r>
        <w:rPr>
          <w:rFonts w:ascii="仿宋" w:hAnsi="仿宋" w:eastAsia="仿宋" w:cs="宋体"/>
          <w:color w:val="auto"/>
          <w:sz w:val="28"/>
          <w:szCs w:val="28"/>
        </w:rPr>
        <w:t>福州市仓山区发展和改革局关于仓山区卫生健康服务能力提升项目可行性研究报告的复函</w:t>
      </w:r>
      <w:r>
        <w:rPr>
          <w:rFonts w:hint="eastAsia" w:ascii="仿宋" w:hAnsi="仿宋" w:eastAsia="仿宋" w:cs="宋体"/>
          <w:color w:val="auto"/>
          <w:sz w:val="28"/>
          <w:szCs w:val="28"/>
        </w:rPr>
        <w:t>》（</w:t>
      </w:r>
      <w:r>
        <w:rPr>
          <w:rFonts w:ascii="仿宋" w:hAnsi="仿宋" w:eastAsia="仿宋" w:cs="宋体"/>
          <w:color w:val="auto"/>
          <w:sz w:val="28"/>
          <w:szCs w:val="28"/>
        </w:rPr>
        <w:t>仓发改审批〔2023</w:t>
      </w:r>
      <w:r>
        <w:rPr>
          <w:rFonts w:hint="eastAsia" w:ascii="仿宋" w:hAnsi="仿宋" w:eastAsia="仿宋" w:cs="宋体"/>
          <w:color w:val="auto"/>
          <w:sz w:val="28"/>
          <w:szCs w:val="28"/>
        </w:rPr>
        <w:t>〕</w:t>
      </w:r>
      <w:r>
        <w:rPr>
          <w:rFonts w:ascii="仿宋" w:hAnsi="仿宋" w:eastAsia="仿宋" w:cs="宋体"/>
          <w:color w:val="auto"/>
          <w:sz w:val="28"/>
          <w:szCs w:val="28"/>
        </w:rPr>
        <w:t>8号</w:t>
      </w:r>
      <w:r>
        <w:rPr>
          <w:rFonts w:hint="eastAsia" w:ascii="仿宋" w:hAnsi="仿宋" w:eastAsia="仿宋" w:cs="宋体"/>
          <w:color w:val="auto"/>
          <w:sz w:val="28"/>
          <w:szCs w:val="28"/>
        </w:rPr>
        <w:t>）项目具有可行性，依据《</w:t>
      </w:r>
      <w:r>
        <w:rPr>
          <w:rFonts w:ascii="仿宋" w:hAnsi="仿宋" w:eastAsia="仿宋" w:cs="宋体"/>
          <w:color w:val="auto"/>
          <w:sz w:val="28"/>
          <w:szCs w:val="28"/>
        </w:rPr>
        <w:t>福建省财政厅关于同意调整政府专项债券用途的批复</w:t>
      </w:r>
      <w:r>
        <w:rPr>
          <w:rFonts w:hint="eastAsia" w:ascii="仿宋" w:hAnsi="仿宋" w:eastAsia="仿宋" w:cs="宋体"/>
          <w:color w:val="auto"/>
          <w:sz w:val="28"/>
          <w:szCs w:val="28"/>
        </w:rPr>
        <w:t>》（</w:t>
      </w:r>
      <w:r>
        <w:rPr>
          <w:rFonts w:ascii="仿宋" w:hAnsi="仿宋" w:eastAsia="仿宋" w:cs="宋体"/>
          <w:color w:val="auto"/>
          <w:sz w:val="28"/>
          <w:szCs w:val="28"/>
        </w:rPr>
        <w:t>闽财债管便函〔2023</w:t>
      </w:r>
      <w:r>
        <w:rPr>
          <w:rFonts w:hint="eastAsia" w:ascii="仿宋" w:hAnsi="仿宋" w:eastAsia="仿宋" w:cs="宋体"/>
          <w:color w:val="auto"/>
          <w:sz w:val="28"/>
          <w:szCs w:val="28"/>
        </w:rPr>
        <w:t>〕</w:t>
      </w:r>
      <w:r>
        <w:rPr>
          <w:rFonts w:ascii="仿宋" w:hAnsi="仿宋" w:eastAsia="仿宋" w:cs="宋体"/>
          <w:color w:val="auto"/>
          <w:sz w:val="28"/>
          <w:szCs w:val="28"/>
        </w:rPr>
        <w:t>25号</w:t>
      </w:r>
      <w:r>
        <w:rPr>
          <w:rFonts w:hint="eastAsia" w:ascii="仿宋" w:hAnsi="仿宋" w:eastAsia="仿宋" w:cs="宋体"/>
          <w:color w:val="auto"/>
          <w:sz w:val="28"/>
          <w:szCs w:val="28"/>
        </w:rPr>
        <w:t>），项目建设所需资金债券部分资金来源已经批准，将2023年福建省高质量发展专项债券（四期）——2023年福建省政府专项债券（五期）由“仓山区文化综合大楼”项目调整2000万元用于“仓山区卫生健康服务能力提升项目”，依据充分。</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根据指标体系评分标准，此项指标绩效评价得分为4分。</w:t>
      </w:r>
    </w:p>
    <w:p>
      <w:pPr>
        <w:pStyle w:val="15"/>
        <w:adjustRightInd w:val="0"/>
        <w:snapToGrid w:val="0"/>
        <w:spacing w:line="520" w:lineRule="exact"/>
        <w:ind w:firstLine="562"/>
        <w:rPr>
          <w:rFonts w:hint="eastAsia" w:ascii="仿宋" w:hAnsi="仿宋" w:eastAsia="仿宋" w:cs="Calibri"/>
          <w:b/>
          <w:bCs/>
          <w:szCs w:val="28"/>
        </w:rPr>
      </w:pPr>
      <w:r>
        <w:rPr>
          <w:rFonts w:hint="eastAsia" w:ascii="仿宋" w:hAnsi="仿宋" w:eastAsia="仿宋" w:cs="Calibri"/>
          <w:b/>
          <w:bCs/>
          <w:szCs w:val="28"/>
        </w:rPr>
        <w:t>（2）决策内容合理性（得分2分）</w:t>
      </w:r>
    </w:p>
    <w:p>
      <w:pPr>
        <w:pStyle w:val="15"/>
        <w:adjustRightInd w:val="0"/>
        <w:snapToGrid w:val="0"/>
        <w:spacing w:line="520" w:lineRule="exact"/>
        <w:rPr>
          <w:rFonts w:hint="eastAsia" w:ascii="仿宋" w:hAnsi="仿宋" w:eastAsia="仿宋" w:cs="宋体"/>
          <w:szCs w:val="28"/>
        </w:rPr>
      </w:pPr>
      <w:r>
        <w:rPr>
          <w:rFonts w:hint="eastAsia" w:ascii="仿宋" w:hAnsi="仿宋" w:eastAsia="仿宋" w:cs="宋体"/>
          <w:szCs w:val="28"/>
        </w:rPr>
        <w:t>立项程序规范性指标主要考核项目申请、设立过程是否符合相关要求，用以反映和考核项目立项的规范情况。</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通过核实区卫生健康局提供的佐证材料，该项目符合专项债券支持民生补短板的领域和方向且不在《地方政府专项债券资金投向领域禁止类项目清单》（财预〔2021〕115号）所禁止的项目类型中，项目专项债券资金建设内容也符合专项债券使用管理要求。</w:t>
      </w:r>
      <w:bookmarkStart w:id="65" w:name="_Hlk108423315"/>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根据指标体系评分标准，此项指标绩效评价得分为2分。</w:t>
      </w:r>
    </w:p>
    <w:p>
      <w:pPr>
        <w:pStyle w:val="15"/>
        <w:spacing w:line="520" w:lineRule="exact"/>
        <w:ind w:firstLine="562"/>
        <w:rPr>
          <w:rFonts w:hint="eastAsia" w:ascii="仿宋" w:hAnsi="仿宋" w:eastAsia="仿宋" w:cs="Calibri"/>
          <w:b/>
          <w:bCs/>
          <w:szCs w:val="28"/>
        </w:rPr>
      </w:pPr>
      <w:r>
        <w:rPr>
          <w:rFonts w:ascii="仿宋" w:hAnsi="仿宋" w:eastAsia="仿宋" w:cs="Calibri"/>
          <w:b/>
          <w:bCs/>
          <w:szCs w:val="28"/>
        </w:rPr>
        <w:t>2</w:t>
      </w:r>
      <w:r>
        <w:rPr>
          <w:rFonts w:hint="eastAsia" w:ascii="仿宋" w:hAnsi="仿宋" w:eastAsia="仿宋" w:cs="Calibri"/>
          <w:b/>
          <w:bCs/>
          <w:szCs w:val="28"/>
        </w:rPr>
        <w:t>.绩效目标（满分5分，得分4分）</w:t>
      </w:r>
    </w:p>
    <w:p>
      <w:pPr>
        <w:spacing w:line="520" w:lineRule="exact"/>
        <w:ind w:firstLine="562" w:firstLineChars="200"/>
        <w:jc w:val="both"/>
        <w:rPr>
          <w:rFonts w:hint="eastAsia" w:ascii="仿宋" w:hAnsi="仿宋" w:eastAsia="仿宋" w:cs="宋体"/>
          <w:b/>
          <w:bCs/>
          <w:color w:val="auto"/>
          <w:sz w:val="28"/>
          <w:szCs w:val="28"/>
        </w:rPr>
      </w:pPr>
      <w:r>
        <w:rPr>
          <w:rFonts w:hint="eastAsia" w:ascii="仿宋" w:hAnsi="仿宋" w:eastAsia="仿宋" w:cs="宋体"/>
          <w:b/>
          <w:bCs/>
          <w:color w:val="auto"/>
          <w:sz w:val="28"/>
          <w:szCs w:val="28"/>
        </w:rPr>
        <w:t>（</w:t>
      </w:r>
      <w:r>
        <w:rPr>
          <w:rFonts w:ascii="仿宋" w:hAnsi="仿宋" w:eastAsia="仿宋" w:cs="宋体"/>
          <w:b/>
          <w:bCs/>
          <w:color w:val="auto"/>
          <w:sz w:val="28"/>
          <w:szCs w:val="28"/>
        </w:rPr>
        <w:t>1</w:t>
      </w:r>
      <w:r>
        <w:rPr>
          <w:rFonts w:hint="eastAsia" w:ascii="仿宋" w:hAnsi="仿宋" w:eastAsia="仿宋" w:cs="宋体"/>
          <w:b/>
          <w:bCs/>
          <w:color w:val="auto"/>
          <w:sz w:val="28"/>
          <w:szCs w:val="28"/>
        </w:rPr>
        <w:t>）绩效目标合理性（得分2分）</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项目绩效目标设置完整性及合理性情况，用以反映和考核项目绩效目标各项指标是否充分设置，是否符合项目实施的客观实际。</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通过核实区卫生健康局提供的佐证材料，2023年仓山区卫生健康服务能力提升项目（债券资金）按要求编制了绩效目标表，设定了项目实施期目标，和决策意图，与项目属性特点相吻合、支出内容相关。</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根据指标体系评分标准，此项指标绩效评价得分为2分。</w:t>
      </w:r>
    </w:p>
    <w:p>
      <w:pPr>
        <w:spacing w:line="520" w:lineRule="exact"/>
        <w:ind w:firstLine="562" w:firstLineChars="200"/>
        <w:jc w:val="both"/>
        <w:rPr>
          <w:rFonts w:hint="eastAsia" w:ascii="仿宋" w:hAnsi="仿宋" w:eastAsia="仿宋" w:cs="宋体"/>
          <w:b/>
          <w:bCs/>
          <w:color w:val="auto"/>
          <w:sz w:val="28"/>
          <w:szCs w:val="28"/>
        </w:rPr>
      </w:pPr>
      <w:r>
        <w:rPr>
          <w:rFonts w:hint="eastAsia" w:ascii="仿宋" w:hAnsi="仿宋" w:eastAsia="仿宋" w:cs="Calibri"/>
          <w:b/>
          <w:bCs/>
          <w:color w:val="auto"/>
          <w:sz w:val="28"/>
          <w:szCs w:val="28"/>
        </w:rPr>
        <w:t>（</w:t>
      </w:r>
      <w:r>
        <w:rPr>
          <w:rFonts w:ascii="仿宋" w:hAnsi="仿宋" w:eastAsia="仿宋" w:cs="Calibri"/>
          <w:b/>
          <w:bCs/>
          <w:color w:val="auto"/>
          <w:sz w:val="28"/>
          <w:szCs w:val="28"/>
        </w:rPr>
        <w:t>2</w:t>
      </w:r>
      <w:r>
        <w:rPr>
          <w:rFonts w:hint="eastAsia" w:ascii="仿宋" w:hAnsi="仿宋" w:eastAsia="仿宋" w:cs="Calibri"/>
          <w:b/>
          <w:bCs/>
          <w:color w:val="auto"/>
          <w:sz w:val="28"/>
          <w:szCs w:val="28"/>
        </w:rPr>
        <w:t>）</w:t>
      </w:r>
      <w:r>
        <w:rPr>
          <w:rFonts w:hint="eastAsia" w:ascii="仿宋" w:hAnsi="仿宋" w:eastAsia="仿宋" w:cs="宋体"/>
          <w:b/>
          <w:bCs/>
          <w:color w:val="auto"/>
          <w:sz w:val="28"/>
          <w:szCs w:val="28"/>
        </w:rPr>
        <w:t>绩效指标明确性（得分2分）</w:t>
      </w:r>
    </w:p>
    <w:p>
      <w:pPr>
        <w:spacing w:line="520" w:lineRule="exact"/>
        <w:ind w:firstLine="560" w:firstLineChars="200"/>
        <w:rPr>
          <w:rFonts w:hint="eastAsia" w:ascii="仿宋" w:hAnsi="仿宋" w:eastAsia="仿宋" w:cs="宋体"/>
          <w:color w:val="auto"/>
          <w:sz w:val="28"/>
          <w:szCs w:val="28"/>
        </w:rPr>
      </w:pPr>
      <w:r>
        <w:rPr>
          <w:rFonts w:hint="eastAsia" w:ascii="仿宋" w:hAnsi="仿宋" w:eastAsia="仿宋" w:cs="宋体"/>
          <w:color w:val="auto"/>
          <w:sz w:val="28"/>
          <w:szCs w:val="28"/>
        </w:rPr>
        <w:t>绩效指标明确性指标主要评价设定的绩效指标是否清晰、细化、可衡量等，用以反映和考核项目绩效目标的明细化情况。</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通过核实区卫生健康局提供的佐证材料，卫生健康局根据要求设置了4个一级指标、6个二级指标和10个三级指标，指标大类覆盖全面，但是在指标衡量标准上较为单一，如效益指标中只设置了经济效益一个二级指标，未考虑全面。</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根据指标体系评分标准，此项指标扣1分，绩效评价得分为2分。</w:t>
      </w:r>
    </w:p>
    <w:p>
      <w:pPr>
        <w:pStyle w:val="15"/>
        <w:spacing w:line="520" w:lineRule="exact"/>
        <w:ind w:firstLine="562"/>
        <w:rPr>
          <w:rFonts w:hint="eastAsia" w:ascii="仿宋" w:hAnsi="仿宋" w:eastAsia="仿宋" w:cs="宋体"/>
          <w:b/>
          <w:bCs/>
          <w:szCs w:val="28"/>
        </w:rPr>
      </w:pPr>
      <w:r>
        <w:rPr>
          <w:rFonts w:hint="eastAsia" w:ascii="仿宋" w:hAnsi="仿宋" w:eastAsia="仿宋" w:cs="宋体"/>
          <w:b/>
          <w:bCs/>
          <w:szCs w:val="28"/>
        </w:rPr>
        <w:t>3．资金投入（满分4分，得分2分）</w:t>
      </w:r>
    </w:p>
    <w:p>
      <w:pPr>
        <w:keepNext/>
        <w:keepLines/>
        <w:tabs>
          <w:tab w:val="left" w:pos="1151"/>
        </w:tabs>
        <w:spacing w:line="520" w:lineRule="exact"/>
        <w:ind w:firstLine="562" w:firstLineChars="200"/>
        <w:jc w:val="both"/>
        <w:rPr>
          <w:rFonts w:hint="eastAsia" w:ascii="仿宋" w:hAnsi="仿宋" w:eastAsia="仿宋" w:cs="宋体"/>
          <w:b/>
          <w:bCs/>
          <w:color w:val="auto"/>
          <w:sz w:val="28"/>
          <w:szCs w:val="28"/>
        </w:rPr>
      </w:pPr>
      <w:r>
        <w:rPr>
          <w:rFonts w:hint="eastAsia" w:ascii="仿宋" w:hAnsi="仿宋" w:eastAsia="仿宋" w:cs="Calibri"/>
          <w:b/>
          <w:bCs/>
          <w:color w:val="auto"/>
          <w:sz w:val="28"/>
          <w:szCs w:val="28"/>
        </w:rPr>
        <w:t>（1）资金需求合理性</w:t>
      </w:r>
      <w:r>
        <w:rPr>
          <w:rFonts w:hint="eastAsia" w:ascii="仿宋" w:hAnsi="仿宋" w:eastAsia="仿宋" w:cs="宋体"/>
          <w:b/>
          <w:bCs/>
          <w:color w:val="auto"/>
          <w:sz w:val="28"/>
          <w:szCs w:val="28"/>
        </w:rPr>
        <w:t>（得分2分）</w:t>
      </w:r>
    </w:p>
    <w:p>
      <w:pPr>
        <w:keepNext/>
        <w:keepLines/>
        <w:tabs>
          <w:tab w:val="left" w:pos="1151"/>
        </w:tabs>
        <w:spacing w:line="520" w:lineRule="exact"/>
        <w:ind w:firstLine="560" w:firstLineChars="200"/>
        <w:jc w:val="both"/>
        <w:rPr>
          <w:rFonts w:hint="eastAsia" w:ascii="仿宋" w:hAnsi="仿宋" w:eastAsia="仿宋" w:cs="宋体"/>
          <w:b/>
          <w:bCs/>
          <w:color w:val="auto"/>
          <w:sz w:val="28"/>
          <w:szCs w:val="28"/>
        </w:rPr>
      </w:pPr>
      <w:r>
        <w:rPr>
          <w:rFonts w:hint="eastAsia" w:ascii="仿宋" w:hAnsi="仿宋" w:eastAsia="仿宋" w:cs="宋体"/>
          <w:color w:val="auto"/>
          <w:sz w:val="28"/>
          <w:szCs w:val="28"/>
        </w:rPr>
        <w:t>考核专项债券资金需求经过科学测算的情况，用以反映和考核项目专项债券资金需求申报的合理性。</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通过核实区卫生健康局提供的佐证材料，根据《</w:t>
      </w:r>
      <w:r>
        <w:rPr>
          <w:rFonts w:ascii="仿宋" w:hAnsi="仿宋" w:eastAsia="仿宋" w:cs="宋体"/>
          <w:color w:val="auto"/>
          <w:sz w:val="28"/>
          <w:szCs w:val="28"/>
        </w:rPr>
        <w:t>仓山区卫生健康服务能力提升项目可行性研究报告</w:t>
      </w:r>
      <w:r>
        <w:rPr>
          <w:rFonts w:hint="eastAsia" w:ascii="仿宋" w:hAnsi="仿宋" w:eastAsia="仿宋" w:cs="宋体"/>
          <w:color w:val="auto"/>
          <w:sz w:val="28"/>
          <w:szCs w:val="28"/>
        </w:rPr>
        <w:t>》该项目资金需求测算依据充分，与项目实际需要相匹配。但报告中关于项目收入及预期收益依据不够充分，如收入预测中的每日门诊量和床位入住率依据不足，该项目的专项债券资金存在潜在的偿债风险。</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根据指标体系评分标准，此项指标扣2分，绩效评价得分为2分。</w:t>
      </w:r>
    </w:p>
    <w:p>
      <w:pPr>
        <w:spacing w:line="520" w:lineRule="exact"/>
        <w:ind w:firstLine="560" w:firstLineChars="200"/>
        <w:jc w:val="both"/>
        <w:outlineLvl w:val="1"/>
        <w:rPr>
          <w:rFonts w:hint="eastAsia" w:ascii="楷体" w:hAnsi="楷体" w:eastAsia="楷体" w:cs="楷体"/>
          <w:color w:val="auto"/>
          <w:sz w:val="28"/>
          <w:szCs w:val="28"/>
        </w:rPr>
      </w:pPr>
      <w:bookmarkStart w:id="66" w:name="_Toc186450521"/>
      <w:bookmarkStart w:id="67" w:name="_Toc108549530"/>
      <w:r>
        <w:rPr>
          <w:rFonts w:hint="eastAsia" w:ascii="楷体" w:hAnsi="楷体" w:eastAsia="楷体" w:cs="楷体"/>
          <w:color w:val="auto"/>
          <w:sz w:val="28"/>
          <w:szCs w:val="28"/>
        </w:rPr>
        <w:t>（二）项目过程情况（满分25分，得分15分）</w:t>
      </w:r>
      <w:bookmarkEnd w:id="66"/>
      <w:bookmarkEnd w:id="67"/>
    </w:p>
    <w:p>
      <w:pPr>
        <w:pStyle w:val="15"/>
        <w:spacing w:line="520" w:lineRule="exact"/>
        <w:ind w:firstLine="562"/>
        <w:rPr>
          <w:rFonts w:hint="eastAsia" w:ascii="仿宋" w:hAnsi="仿宋" w:eastAsia="仿宋" w:cs="宋体"/>
          <w:b/>
          <w:bCs/>
          <w:szCs w:val="28"/>
        </w:rPr>
      </w:pPr>
      <w:r>
        <w:rPr>
          <w:rFonts w:hint="eastAsia" w:ascii="仿宋" w:hAnsi="仿宋" w:eastAsia="仿宋" w:cs="宋体"/>
          <w:b/>
          <w:bCs/>
          <w:szCs w:val="28"/>
        </w:rPr>
        <w:t>1.资金管理（满分8分，得分7分）</w:t>
      </w:r>
    </w:p>
    <w:p>
      <w:pPr>
        <w:spacing w:line="520" w:lineRule="exact"/>
        <w:ind w:firstLine="562" w:firstLineChars="200"/>
        <w:jc w:val="both"/>
        <w:rPr>
          <w:rFonts w:hint="eastAsia" w:ascii="仿宋" w:hAnsi="仿宋" w:eastAsia="仿宋" w:cs="Calibri"/>
          <w:b/>
          <w:bCs/>
          <w:color w:val="auto"/>
          <w:sz w:val="28"/>
          <w:szCs w:val="28"/>
        </w:rPr>
      </w:pPr>
      <w:r>
        <w:rPr>
          <w:rFonts w:hint="eastAsia" w:ascii="仿宋" w:hAnsi="仿宋" w:eastAsia="仿宋" w:cs="Calibri"/>
          <w:b/>
          <w:bCs/>
          <w:color w:val="auto"/>
          <w:sz w:val="28"/>
          <w:szCs w:val="28"/>
        </w:rPr>
        <w:t>（1）资金到位率（得分2分）</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实际到位资金与预算资金的比率，用以反映和考核资金落实情况对项目实施的总体保障程度。</w:t>
      </w:r>
      <w:r>
        <w:rPr>
          <w:rFonts w:ascii="仿宋" w:hAnsi="仿宋" w:eastAsia="仿宋" w:cs="宋体"/>
          <w:color w:val="auto"/>
          <w:sz w:val="28"/>
          <w:szCs w:val="28"/>
        </w:rPr>
        <w:t>实际到位资金指一定时期（本年度或项目期）内落实到具体项目的资金。</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通过核实区卫生健康局提供的相关佐证材料，2023年仓山区卫生健康服务能力提升项目（债券资金）预算2,000.00万元，2023年项目到位资金2,000.00万元，资金到位率100%。</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根据指标体系评分标准，此项指标绩效评价得分为2分。</w:t>
      </w:r>
    </w:p>
    <w:p>
      <w:pPr>
        <w:spacing w:line="520" w:lineRule="exact"/>
        <w:ind w:firstLine="562" w:firstLineChars="200"/>
        <w:jc w:val="both"/>
        <w:rPr>
          <w:rFonts w:hint="eastAsia" w:ascii="仿宋" w:hAnsi="仿宋" w:eastAsia="仿宋" w:cs="Calibri"/>
          <w:b/>
          <w:bCs/>
          <w:color w:val="auto"/>
          <w:sz w:val="28"/>
          <w:szCs w:val="28"/>
        </w:rPr>
      </w:pPr>
      <w:r>
        <w:rPr>
          <w:rFonts w:hint="eastAsia" w:ascii="仿宋" w:hAnsi="仿宋" w:eastAsia="仿宋" w:cs="Calibri"/>
          <w:b/>
          <w:bCs/>
          <w:color w:val="auto"/>
          <w:sz w:val="28"/>
          <w:szCs w:val="28"/>
        </w:rPr>
        <w:t>（</w:t>
      </w:r>
      <w:r>
        <w:rPr>
          <w:rFonts w:ascii="仿宋" w:hAnsi="仿宋" w:eastAsia="仿宋" w:cs="Calibri"/>
          <w:b/>
          <w:bCs/>
          <w:color w:val="auto"/>
          <w:sz w:val="28"/>
          <w:szCs w:val="28"/>
        </w:rPr>
        <w:t>2</w:t>
      </w:r>
      <w:r>
        <w:rPr>
          <w:rFonts w:hint="eastAsia" w:ascii="仿宋" w:hAnsi="仿宋" w:eastAsia="仿宋" w:cs="Calibri"/>
          <w:b/>
          <w:bCs/>
          <w:color w:val="auto"/>
          <w:sz w:val="28"/>
          <w:szCs w:val="28"/>
        </w:rPr>
        <w:t>）资金执行率（得分1分）</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资金执行率指标主要评价债券拨付支出进度，用以反映或考核项目债券资金预算执行情况，是否按照计划执行，用以反映或考核项目预算执行情况。预算执行率=（实际支出资金/实际到位资金）×100%。截至2023年12月31日，实际支出528.97万元，执行率为26.45%。截止目前，项目到位资金2,000.00万元，实际支出2,000.00万元，执行率为100%。</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根据指标体系评分标准，考虑到工程项目程序及工期可能导致结算延时，此项指标酌情扣1分，绩效评价得分为1分。</w:t>
      </w:r>
    </w:p>
    <w:p>
      <w:pPr>
        <w:spacing w:line="520" w:lineRule="exact"/>
        <w:ind w:firstLine="562" w:firstLineChars="200"/>
        <w:jc w:val="both"/>
        <w:rPr>
          <w:rFonts w:hint="eastAsia" w:ascii="仿宋" w:hAnsi="仿宋" w:eastAsia="仿宋" w:cs="Calibri"/>
          <w:b/>
          <w:bCs/>
          <w:color w:val="auto"/>
          <w:sz w:val="28"/>
          <w:szCs w:val="28"/>
        </w:rPr>
      </w:pPr>
      <w:r>
        <w:rPr>
          <w:rFonts w:hint="eastAsia" w:ascii="仿宋" w:hAnsi="仿宋" w:eastAsia="仿宋" w:cs="Calibri"/>
          <w:b/>
          <w:bCs/>
          <w:color w:val="auto"/>
          <w:sz w:val="28"/>
          <w:szCs w:val="28"/>
        </w:rPr>
        <w:t>（</w:t>
      </w:r>
      <w:r>
        <w:rPr>
          <w:rFonts w:ascii="仿宋" w:hAnsi="仿宋" w:eastAsia="仿宋" w:cs="Calibri"/>
          <w:b/>
          <w:bCs/>
          <w:color w:val="auto"/>
          <w:sz w:val="28"/>
          <w:szCs w:val="28"/>
        </w:rPr>
        <w:t>3</w:t>
      </w:r>
      <w:r>
        <w:rPr>
          <w:rFonts w:hint="eastAsia" w:ascii="仿宋" w:hAnsi="仿宋" w:eastAsia="仿宋" w:cs="Calibri"/>
          <w:b/>
          <w:bCs/>
          <w:color w:val="auto"/>
          <w:sz w:val="28"/>
          <w:szCs w:val="28"/>
        </w:rPr>
        <w:t>）资金使用合规性（得分4分）</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资金使用合规性指标主要评价项目资金使用是否符合相关的财务管理制度规定，用以反映和考核项目资金的规范运行情况。</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根据实地调研核实项目财务运行状况，资金使用符合国家财经法规和财务管理制度的规定，涉及工程项目以及设备采购均有完成的招投标程序、合同以及验收资料；对专项债券资金单独核算，确保专款专用；根据支付明细，债券资金用途规范，用于该项目的债券资金本年未进行调整。</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根据绩效评价指标体系评分标准，此项指标绩效评价得分为4分。</w:t>
      </w:r>
    </w:p>
    <w:p>
      <w:pPr>
        <w:spacing w:line="520" w:lineRule="exact"/>
        <w:ind w:firstLine="562" w:firstLineChars="200"/>
        <w:jc w:val="both"/>
        <w:rPr>
          <w:rFonts w:hint="eastAsia" w:ascii="仿宋" w:hAnsi="仿宋" w:eastAsia="仿宋" w:cs="宋体"/>
          <w:b/>
          <w:bCs/>
          <w:color w:val="auto"/>
          <w:sz w:val="28"/>
          <w:szCs w:val="28"/>
        </w:rPr>
      </w:pPr>
      <w:r>
        <w:rPr>
          <w:rFonts w:ascii="仿宋" w:hAnsi="仿宋" w:eastAsia="仿宋" w:cs="宋体"/>
          <w:b/>
          <w:bCs/>
          <w:color w:val="auto"/>
          <w:sz w:val="28"/>
          <w:szCs w:val="28"/>
        </w:rPr>
        <w:t>2</w:t>
      </w:r>
      <w:r>
        <w:rPr>
          <w:rFonts w:hint="eastAsia" w:ascii="仿宋" w:hAnsi="仿宋" w:eastAsia="仿宋" w:cs="宋体"/>
          <w:b/>
          <w:bCs/>
          <w:color w:val="auto"/>
          <w:sz w:val="28"/>
          <w:szCs w:val="28"/>
        </w:rPr>
        <w:t>．资产管理（满分1分，得分1分）</w:t>
      </w:r>
    </w:p>
    <w:p>
      <w:pPr>
        <w:spacing w:line="520" w:lineRule="exact"/>
        <w:ind w:firstLine="562" w:firstLineChars="200"/>
        <w:jc w:val="both"/>
        <w:rPr>
          <w:rFonts w:hint="eastAsia" w:ascii="仿宋" w:hAnsi="仿宋" w:eastAsia="仿宋" w:cs="Calibri"/>
          <w:b/>
          <w:bCs/>
          <w:color w:val="auto"/>
          <w:sz w:val="28"/>
          <w:szCs w:val="28"/>
        </w:rPr>
      </w:pPr>
      <w:r>
        <w:rPr>
          <w:rFonts w:hint="eastAsia" w:ascii="仿宋" w:hAnsi="仿宋" w:eastAsia="仿宋" w:cs="Calibri"/>
          <w:b/>
          <w:bCs/>
          <w:color w:val="auto"/>
          <w:sz w:val="28"/>
          <w:szCs w:val="28"/>
        </w:rPr>
        <w:t>（1）资产管理规范性（得分1分）</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项目竣工后及时竣工验收、办理资产交付手续、将“在建工程”或公共基础设施转为固定资产情况，用以反映和考核项目资产管理规范性。</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通过核实区卫生健康局提供的相关佐证材料</w:t>
      </w:r>
      <w:r>
        <w:rPr>
          <w:rFonts w:ascii="仿宋" w:hAnsi="仿宋" w:eastAsia="仿宋" w:cs="宋体"/>
          <w:color w:val="auto"/>
          <w:sz w:val="28"/>
          <w:szCs w:val="28"/>
        </w:rPr>
        <w:t>，</w:t>
      </w:r>
      <w:r>
        <w:rPr>
          <w:rFonts w:hint="eastAsia" w:ascii="仿宋" w:hAnsi="仿宋" w:eastAsia="仿宋" w:cs="宋体"/>
          <w:color w:val="auto"/>
          <w:sz w:val="28"/>
          <w:szCs w:val="28"/>
        </w:rPr>
        <w:t>工程类项目竣工后及时进行了竣工验收，设备采购后也有完整的政府采购(医疗设备)验收单。</w:t>
      </w:r>
    </w:p>
    <w:p>
      <w:pPr>
        <w:pStyle w:val="35"/>
        <w:tabs>
          <w:tab w:val="left" w:pos="4606"/>
        </w:tabs>
        <w:adjustRightInd w:val="0"/>
        <w:snapToGrid w:val="0"/>
        <w:spacing w:before="0" w:beforeAutospacing="0" w:after="0" w:line="520" w:lineRule="exact"/>
        <w:ind w:left="0" w:leftChars="0" w:firstLine="560"/>
        <w:jc w:val="both"/>
        <w:rPr>
          <w:rFonts w:ascii="仿宋" w:hAnsi="仿宋" w:eastAsia="仿宋" w:cs="宋体"/>
          <w:szCs w:val="28"/>
        </w:rPr>
      </w:pPr>
      <w:r>
        <w:rPr>
          <w:rFonts w:ascii="仿宋" w:hAnsi="仿宋" w:eastAsia="仿宋" w:cs="宋体"/>
          <w:szCs w:val="28"/>
        </w:rPr>
        <w:t>根据指标体系评分标准，此项指标绩效评价得分为1分。</w:t>
      </w:r>
    </w:p>
    <w:p>
      <w:pPr>
        <w:spacing w:line="520" w:lineRule="exact"/>
        <w:ind w:firstLine="562" w:firstLineChars="200"/>
        <w:jc w:val="both"/>
        <w:rPr>
          <w:rFonts w:hint="eastAsia" w:ascii="仿宋" w:hAnsi="仿宋" w:eastAsia="仿宋" w:cs="宋体"/>
          <w:b/>
          <w:bCs/>
          <w:color w:val="auto"/>
          <w:sz w:val="28"/>
          <w:szCs w:val="28"/>
        </w:rPr>
      </w:pPr>
      <w:r>
        <w:rPr>
          <w:rFonts w:hint="eastAsia" w:ascii="仿宋" w:hAnsi="仿宋" w:eastAsia="仿宋" w:cs="宋体"/>
          <w:b/>
          <w:bCs/>
          <w:color w:val="auto"/>
          <w:sz w:val="28"/>
          <w:szCs w:val="28"/>
        </w:rPr>
        <w:t>3．偿债风险防控（满分7分，得分4分）</w:t>
      </w:r>
    </w:p>
    <w:p>
      <w:pPr>
        <w:spacing w:line="520" w:lineRule="exact"/>
        <w:ind w:firstLine="562" w:firstLineChars="200"/>
        <w:jc w:val="both"/>
        <w:rPr>
          <w:rFonts w:hint="eastAsia" w:ascii="仿宋" w:hAnsi="仿宋" w:eastAsia="仿宋" w:cs="Calibri"/>
          <w:b/>
          <w:bCs/>
          <w:color w:val="auto"/>
          <w:sz w:val="28"/>
          <w:szCs w:val="28"/>
        </w:rPr>
      </w:pPr>
      <w:r>
        <w:rPr>
          <w:rFonts w:hint="eastAsia" w:ascii="仿宋" w:hAnsi="仿宋" w:eastAsia="仿宋" w:cs="Calibri"/>
          <w:b/>
          <w:bCs/>
          <w:color w:val="auto"/>
          <w:sz w:val="28"/>
          <w:szCs w:val="28"/>
        </w:rPr>
        <w:t>（1）融资与收益平衡（得分3分）</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考核项目每年收支平衡情况，用以反映项目是否具有持续稳定的现金流收入来保障项目每年的还本付息；项目全生命周期预期收益与融资规模匹配情况、专项债券期限与项目期限匹配合理情况，用以反映项目偿债风险防控。</w:t>
      </w:r>
    </w:p>
    <w:p>
      <w:pPr>
        <w:pStyle w:val="35"/>
        <w:tabs>
          <w:tab w:val="left" w:pos="4606"/>
        </w:tabs>
        <w:adjustRightInd w:val="0"/>
        <w:snapToGrid w:val="0"/>
        <w:spacing w:before="0" w:beforeAutospacing="0" w:after="0" w:line="520" w:lineRule="exact"/>
        <w:ind w:left="105" w:leftChars="50" w:firstLine="420" w:firstLineChars="150"/>
        <w:jc w:val="both"/>
        <w:rPr>
          <w:rFonts w:ascii="仿宋" w:hAnsi="仿宋" w:eastAsia="仿宋" w:cs="宋体"/>
          <w:szCs w:val="28"/>
          <w:lang w:bidi="ar"/>
        </w:rPr>
      </w:pPr>
      <w:r>
        <w:rPr>
          <w:rFonts w:ascii="仿宋" w:hAnsi="仿宋" w:eastAsia="仿宋" w:cs="宋体"/>
          <w:szCs w:val="28"/>
          <w:lang w:bidi="ar"/>
        </w:rPr>
        <w:t>通过核实区卫生健康局提供的相关佐证材料，2023年末各项目并未投入运营，因此以可行性研究预测数据作为评价参考。项目实际使用债券资金 2,000.00万元，为</w:t>
      </w:r>
      <w:r>
        <w:rPr>
          <w:rFonts w:ascii="仿宋" w:hAnsi="仿宋" w:eastAsia="仿宋" w:cs="宋体"/>
          <w:szCs w:val="28"/>
        </w:rPr>
        <w:t>2023年福建省高质量发展专项债券（四期）——2023年福建省政府专项债券（五期）</w:t>
      </w:r>
      <w:r>
        <w:rPr>
          <w:rFonts w:ascii="仿宋" w:hAnsi="仿宋" w:eastAsia="仿宋" w:cs="宋体"/>
          <w:szCs w:val="28"/>
          <w:lang w:bidi="ar"/>
        </w:rPr>
        <w:t>，债券期限为20年。根据债券发行要求20年期债券按每半年付息，固定利率为3.18%，每年3月23日、9月23日支付利息，债券到期一次性偿还本金并支付最后一次利息，还本付息合计3,272.00万元。项目建设期24个月，之后为项目运营期，运营期为18年。参考银行长期贷款基准利率，项目财务基准收益率取4.00%，根据测算，扣除包含利息支出的所有成本费用后项目营运收益为8,729.00万元，足够偿还2,000.00万元债券资金本金，但是项目估算总投资7,886.72万元，项目营运收益覆盖全部本息金额存在风险。</w:t>
      </w:r>
    </w:p>
    <w:p>
      <w:pPr>
        <w:pStyle w:val="35"/>
        <w:tabs>
          <w:tab w:val="left" w:pos="4606"/>
        </w:tabs>
        <w:adjustRightInd w:val="0"/>
        <w:snapToGrid w:val="0"/>
        <w:spacing w:before="0" w:beforeAutospacing="0" w:after="0" w:line="520" w:lineRule="exact"/>
        <w:ind w:left="0" w:leftChars="0" w:firstLine="560"/>
        <w:jc w:val="both"/>
        <w:rPr>
          <w:rFonts w:ascii="仿宋" w:hAnsi="仿宋" w:eastAsia="仿宋" w:cs="宋体"/>
          <w:szCs w:val="28"/>
        </w:rPr>
      </w:pPr>
      <w:r>
        <w:rPr>
          <w:rFonts w:ascii="仿宋" w:hAnsi="仿宋" w:eastAsia="仿宋" w:cs="宋体"/>
          <w:szCs w:val="28"/>
        </w:rPr>
        <w:t>根据指标体系评分标准，此项指标扣1分，绩效评价得分为3分。</w:t>
      </w:r>
    </w:p>
    <w:p>
      <w:pPr>
        <w:spacing w:line="520" w:lineRule="exact"/>
        <w:ind w:firstLine="562" w:firstLineChars="200"/>
        <w:jc w:val="both"/>
        <w:rPr>
          <w:rFonts w:hint="eastAsia" w:ascii="仿宋" w:hAnsi="仿宋" w:eastAsia="仿宋" w:cs="Calibri"/>
          <w:b/>
          <w:bCs/>
          <w:color w:val="auto"/>
          <w:sz w:val="28"/>
          <w:szCs w:val="28"/>
        </w:rPr>
      </w:pPr>
      <w:r>
        <w:rPr>
          <w:rFonts w:hint="eastAsia" w:ascii="仿宋" w:hAnsi="仿宋" w:eastAsia="仿宋" w:cs="Calibri"/>
          <w:b/>
          <w:bCs/>
          <w:color w:val="auto"/>
          <w:sz w:val="28"/>
          <w:szCs w:val="28"/>
        </w:rPr>
        <w:t>（2）还本付息（得分1分）</w:t>
      </w:r>
    </w:p>
    <w:p>
      <w:pPr>
        <w:pStyle w:val="35"/>
        <w:tabs>
          <w:tab w:val="left" w:pos="4606"/>
        </w:tabs>
        <w:adjustRightInd w:val="0"/>
        <w:snapToGrid w:val="0"/>
        <w:spacing w:before="0" w:beforeAutospacing="0" w:after="0" w:line="520" w:lineRule="exact"/>
        <w:ind w:left="0" w:leftChars="0" w:firstLine="560"/>
        <w:jc w:val="both"/>
        <w:rPr>
          <w:rFonts w:ascii="仿宋" w:hAnsi="仿宋" w:eastAsia="仿宋" w:cs="宋体"/>
          <w:szCs w:val="28"/>
          <w:lang w:bidi="ar"/>
        </w:rPr>
      </w:pPr>
      <w:r>
        <w:rPr>
          <w:rFonts w:ascii="仿宋" w:hAnsi="仿宋" w:eastAsia="仿宋" w:cs="宋体"/>
          <w:szCs w:val="28"/>
          <w:lang w:bidi="ar"/>
        </w:rPr>
        <w:t>衡量专项债券本息按偿还要求及时、足额偿还情况，用以反映和考核项目偿债风险防控。</w:t>
      </w:r>
    </w:p>
    <w:p>
      <w:pPr>
        <w:pStyle w:val="35"/>
        <w:tabs>
          <w:tab w:val="left" w:pos="4606"/>
        </w:tabs>
        <w:adjustRightInd w:val="0"/>
        <w:snapToGrid w:val="0"/>
        <w:spacing w:before="0" w:beforeAutospacing="0" w:after="0" w:line="520" w:lineRule="exact"/>
        <w:ind w:left="0" w:leftChars="0" w:firstLine="560"/>
        <w:jc w:val="both"/>
        <w:rPr>
          <w:rFonts w:ascii="仿宋" w:hAnsi="仿宋" w:eastAsia="仿宋" w:cs="宋体"/>
          <w:szCs w:val="28"/>
          <w:lang w:bidi="ar"/>
        </w:rPr>
      </w:pPr>
      <w:r>
        <w:rPr>
          <w:rFonts w:ascii="仿宋" w:hAnsi="仿宋" w:eastAsia="仿宋" w:cs="宋体"/>
          <w:szCs w:val="28"/>
          <w:lang w:bidi="ar"/>
        </w:rPr>
        <w:t>通过核实区卫生健康局提供的相关佐证材料，可行性研究报告制定专项债券本息偿还计划，但是该计划是针对申请6,300.00万专项债而制定，本项目目前的2,000.00万元专项债并无本息偿还计划。根据《福建省财政厅关于2024年3月福建省政府债券还本付息的公告》《福建省财政厅关于2023年9月福建省政府债券还本付息的公告》, 本项目所使用的债券资金《2023 年福建省高质量发展专项债券（四期）——2023年福建省政府专项债券（五期）》均已全额付息。</w:t>
      </w:r>
    </w:p>
    <w:p>
      <w:pPr>
        <w:pStyle w:val="35"/>
        <w:tabs>
          <w:tab w:val="left" w:pos="4606"/>
        </w:tabs>
        <w:adjustRightInd w:val="0"/>
        <w:snapToGrid w:val="0"/>
        <w:spacing w:before="0" w:beforeAutospacing="0" w:after="0" w:line="520" w:lineRule="exact"/>
        <w:ind w:left="0" w:leftChars="0" w:firstLine="560"/>
        <w:jc w:val="both"/>
        <w:rPr>
          <w:rFonts w:ascii="仿宋" w:hAnsi="仿宋" w:eastAsia="仿宋" w:cs="宋体"/>
          <w:szCs w:val="28"/>
          <w:lang w:bidi="ar"/>
        </w:rPr>
      </w:pPr>
      <w:r>
        <w:rPr>
          <w:rFonts w:ascii="仿宋" w:hAnsi="仿宋" w:eastAsia="仿宋" w:cs="宋体"/>
          <w:szCs w:val="28"/>
          <w:lang w:bidi="ar"/>
        </w:rPr>
        <w:t>根据指标体系评分标准，此项指标扣1分，绩效评价得分为1分。</w:t>
      </w:r>
    </w:p>
    <w:p>
      <w:pPr>
        <w:spacing w:line="520" w:lineRule="exact"/>
        <w:ind w:firstLine="562" w:firstLineChars="200"/>
        <w:jc w:val="both"/>
        <w:rPr>
          <w:rFonts w:hint="eastAsia" w:ascii="仿宋" w:hAnsi="仿宋" w:eastAsia="仿宋" w:cs="Calibri"/>
          <w:b/>
          <w:bCs/>
          <w:color w:val="auto"/>
          <w:sz w:val="28"/>
          <w:szCs w:val="28"/>
        </w:rPr>
      </w:pPr>
      <w:r>
        <w:rPr>
          <w:rFonts w:hint="eastAsia" w:ascii="仿宋" w:hAnsi="仿宋" w:eastAsia="仿宋" w:cs="Calibri"/>
          <w:b/>
          <w:bCs/>
          <w:color w:val="auto"/>
          <w:sz w:val="28"/>
          <w:szCs w:val="28"/>
        </w:rPr>
        <w:t>（3）风险化解（得分0分）</w:t>
      </w:r>
    </w:p>
    <w:p>
      <w:pPr>
        <w:pStyle w:val="35"/>
        <w:tabs>
          <w:tab w:val="left" w:pos="4606"/>
        </w:tabs>
        <w:adjustRightInd w:val="0"/>
        <w:snapToGrid w:val="0"/>
        <w:spacing w:before="0" w:beforeAutospacing="0" w:after="0" w:line="520" w:lineRule="exact"/>
        <w:ind w:left="0" w:leftChars="0" w:firstLine="560"/>
        <w:jc w:val="both"/>
        <w:rPr>
          <w:rFonts w:ascii="仿宋" w:hAnsi="仿宋" w:eastAsia="仿宋" w:cs="宋体"/>
          <w:szCs w:val="28"/>
          <w:lang w:bidi="ar"/>
        </w:rPr>
      </w:pPr>
      <w:r>
        <w:rPr>
          <w:rFonts w:ascii="仿宋" w:hAnsi="仿宋" w:eastAsia="仿宋" w:cs="宋体"/>
          <w:szCs w:val="28"/>
          <w:lang w:bidi="ar"/>
        </w:rPr>
        <w:t>衡量风险防控预案制定具体、科学可执行的情况，用以反映和考核项目偿债风险防控。</w:t>
      </w:r>
    </w:p>
    <w:p>
      <w:pPr>
        <w:pStyle w:val="35"/>
        <w:tabs>
          <w:tab w:val="left" w:pos="4606"/>
        </w:tabs>
        <w:adjustRightInd w:val="0"/>
        <w:snapToGrid w:val="0"/>
        <w:spacing w:before="0" w:beforeAutospacing="0" w:after="0" w:line="520" w:lineRule="exact"/>
        <w:ind w:left="0" w:leftChars="0" w:firstLine="560"/>
        <w:jc w:val="both"/>
        <w:rPr>
          <w:rFonts w:ascii="仿宋" w:hAnsi="仿宋" w:eastAsia="仿宋" w:cs="宋体"/>
          <w:szCs w:val="28"/>
          <w:lang w:bidi="ar"/>
        </w:rPr>
      </w:pPr>
      <w:r>
        <w:rPr>
          <w:rFonts w:ascii="仿宋" w:hAnsi="仿宋" w:eastAsia="仿宋" w:cs="宋体"/>
          <w:szCs w:val="28"/>
          <w:lang w:bidi="ar"/>
        </w:rPr>
        <w:t>通过核实区卫生健康局提供的相关佐证材料，该项目并没有制定具体风险防控预案。此项指标绩效评价得分为0分。</w:t>
      </w:r>
    </w:p>
    <w:p>
      <w:pPr>
        <w:spacing w:line="520" w:lineRule="exact"/>
        <w:ind w:firstLine="562" w:firstLineChars="200"/>
        <w:jc w:val="both"/>
        <w:rPr>
          <w:rFonts w:hint="eastAsia" w:ascii="仿宋" w:hAnsi="仿宋" w:eastAsia="仿宋" w:cs="宋体"/>
          <w:b/>
          <w:bCs/>
          <w:color w:val="auto"/>
          <w:sz w:val="28"/>
          <w:szCs w:val="28"/>
        </w:rPr>
      </w:pPr>
      <w:r>
        <w:rPr>
          <w:rFonts w:hint="eastAsia" w:ascii="仿宋" w:hAnsi="仿宋" w:eastAsia="仿宋" w:cs="宋体"/>
          <w:b/>
          <w:bCs/>
          <w:color w:val="auto"/>
          <w:sz w:val="28"/>
          <w:szCs w:val="28"/>
        </w:rPr>
        <w:t>4．事项管理（满分9分，得分3分）</w:t>
      </w:r>
    </w:p>
    <w:p>
      <w:pPr>
        <w:spacing w:line="520" w:lineRule="exact"/>
        <w:ind w:firstLine="562" w:firstLineChars="200"/>
        <w:jc w:val="both"/>
        <w:rPr>
          <w:rFonts w:hint="eastAsia" w:ascii="仿宋" w:hAnsi="仿宋" w:eastAsia="仿宋" w:cs="Calibri"/>
          <w:b/>
          <w:bCs/>
          <w:color w:val="auto"/>
          <w:sz w:val="28"/>
          <w:szCs w:val="28"/>
        </w:rPr>
      </w:pPr>
      <w:r>
        <w:rPr>
          <w:rFonts w:hint="eastAsia" w:ascii="仿宋" w:hAnsi="仿宋" w:eastAsia="仿宋" w:cs="Calibri"/>
          <w:b/>
          <w:bCs/>
          <w:color w:val="auto"/>
          <w:sz w:val="28"/>
          <w:szCs w:val="28"/>
        </w:rPr>
        <w:t>（1）项目管理制度健全性（得分1分）</w:t>
      </w:r>
    </w:p>
    <w:p>
      <w:pPr>
        <w:pStyle w:val="35"/>
        <w:tabs>
          <w:tab w:val="left" w:pos="4606"/>
        </w:tabs>
        <w:adjustRightInd w:val="0"/>
        <w:snapToGrid w:val="0"/>
        <w:spacing w:before="0" w:beforeAutospacing="0" w:after="0" w:line="520" w:lineRule="exact"/>
        <w:ind w:left="0" w:leftChars="0" w:firstLine="560"/>
        <w:jc w:val="both"/>
        <w:rPr>
          <w:rFonts w:ascii="仿宋" w:hAnsi="仿宋" w:eastAsia="仿宋" w:cs="宋体"/>
          <w:szCs w:val="28"/>
          <w:lang w:bidi="ar"/>
        </w:rPr>
      </w:pPr>
      <w:r>
        <w:rPr>
          <w:rFonts w:ascii="仿宋" w:hAnsi="仿宋" w:eastAsia="仿宋" w:cs="宋体"/>
          <w:szCs w:val="28"/>
          <w:lang w:bidi="ar"/>
        </w:rPr>
        <w:t>衡量项目实施单位的业务管理制度是否健全，用以反映和考核业务管理制度对项目顺利实施的保障情况。</w:t>
      </w:r>
    </w:p>
    <w:p>
      <w:pPr>
        <w:pStyle w:val="35"/>
        <w:tabs>
          <w:tab w:val="left" w:pos="4606"/>
        </w:tabs>
        <w:adjustRightInd w:val="0"/>
        <w:snapToGrid w:val="0"/>
        <w:spacing w:before="0" w:beforeAutospacing="0" w:after="0" w:line="520" w:lineRule="exact"/>
        <w:ind w:left="0" w:leftChars="0" w:firstLine="560"/>
        <w:jc w:val="both"/>
        <w:rPr>
          <w:rFonts w:ascii="仿宋" w:hAnsi="仿宋" w:eastAsia="仿宋" w:cs="宋体"/>
          <w:szCs w:val="28"/>
          <w:lang w:bidi="ar"/>
        </w:rPr>
      </w:pPr>
      <w:r>
        <w:rPr>
          <w:rFonts w:ascii="仿宋" w:hAnsi="仿宋" w:eastAsia="仿宋" w:cs="宋体"/>
          <w:szCs w:val="28"/>
          <w:lang w:bidi="ar"/>
        </w:rPr>
        <w:t>通过核实区卫生健康局提供的相关佐证材料，目前制定了《仓山区卫生健康局财务管理制度》《关于印发进一步规范仓山区基层公立医疗机构医用耗材、检验试剂采购、管理工作若干意见的通知》《仓山区基层医疗卫生机构药事管理暂行办法》，前者是仓山区卫生健康局部门的财务管理制度而非针对该项目，后两者为2024年发布，具有迟滞性。</w:t>
      </w:r>
    </w:p>
    <w:p>
      <w:pPr>
        <w:pStyle w:val="35"/>
        <w:tabs>
          <w:tab w:val="left" w:pos="4606"/>
        </w:tabs>
        <w:adjustRightInd w:val="0"/>
        <w:snapToGrid w:val="0"/>
        <w:spacing w:before="0" w:beforeAutospacing="0" w:after="0" w:line="520" w:lineRule="exact"/>
        <w:ind w:left="0" w:leftChars="0" w:firstLine="560"/>
        <w:jc w:val="both"/>
        <w:rPr>
          <w:rFonts w:ascii="仿宋" w:hAnsi="仿宋" w:eastAsia="仿宋" w:cs="宋体"/>
          <w:szCs w:val="28"/>
          <w:lang w:bidi="ar"/>
        </w:rPr>
      </w:pPr>
      <w:r>
        <w:rPr>
          <w:rFonts w:ascii="仿宋" w:hAnsi="仿宋" w:eastAsia="仿宋" w:cs="宋体"/>
          <w:szCs w:val="28"/>
          <w:lang w:bidi="ar"/>
        </w:rPr>
        <w:t>根据指标体系评分标准，此项指标酌情扣1分，绩效评价得分为1分。</w:t>
      </w:r>
    </w:p>
    <w:p>
      <w:pPr>
        <w:spacing w:line="520" w:lineRule="exact"/>
        <w:ind w:firstLine="562" w:firstLineChars="200"/>
        <w:jc w:val="both"/>
        <w:rPr>
          <w:rFonts w:hint="eastAsia" w:ascii="仿宋" w:hAnsi="仿宋" w:eastAsia="仿宋" w:cs="Calibri"/>
          <w:b/>
          <w:bCs/>
          <w:color w:val="auto"/>
          <w:sz w:val="28"/>
          <w:szCs w:val="28"/>
        </w:rPr>
      </w:pPr>
      <w:r>
        <w:rPr>
          <w:rFonts w:hint="eastAsia" w:ascii="仿宋" w:hAnsi="仿宋" w:eastAsia="仿宋" w:cs="Calibri"/>
          <w:b/>
          <w:bCs/>
          <w:color w:val="auto"/>
          <w:sz w:val="28"/>
          <w:szCs w:val="28"/>
        </w:rPr>
        <w:t>（2）程序执行有效性（得分2分）</w:t>
      </w:r>
    </w:p>
    <w:p>
      <w:pPr>
        <w:pStyle w:val="35"/>
        <w:tabs>
          <w:tab w:val="left" w:pos="4606"/>
        </w:tabs>
        <w:adjustRightInd w:val="0"/>
        <w:snapToGrid w:val="0"/>
        <w:spacing w:before="0" w:beforeAutospacing="0" w:after="0" w:line="520" w:lineRule="exact"/>
        <w:ind w:left="0" w:leftChars="0" w:firstLine="560"/>
        <w:jc w:val="both"/>
        <w:rPr>
          <w:rFonts w:ascii="仿宋" w:hAnsi="仿宋" w:eastAsia="仿宋" w:cs="宋体"/>
          <w:szCs w:val="28"/>
          <w:lang w:bidi="ar"/>
        </w:rPr>
      </w:pPr>
      <w:r>
        <w:rPr>
          <w:rFonts w:ascii="仿宋" w:hAnsi="仿宋" w:eastAsia="仿宋" w:cs="宋体"/>
          <w:szCs w:val="28"/>
          <w:lang w:bidi="ar"/>
        </w:rPr>
        <w:t>衡量资金使用单位严格执行相关业务管理制度规定情况，用以反映和考核方案审批审查、项目建设实施、日常监督检查、考核评估等相关管理制度的有效执行情况。</w:t>
      </w:r>
    </w:p>
    <w:p>
      <w:pPr>
        <w:pStyle w:val="35"/>
        <w:tabs>
          <w:tab w:val="left" w:pos="4606"/>
        </w:tabs>
        <w:adjustRightInd w:val="0"/>
        <w:snapToGrid w:val="0"/>
        <w:spacing w:before="0" w:beforeAutospacing="0" w:after="0" w:line="520" w:lineRule="exact"/>
        <w:ind w:left="0" w:leftChars="0" w:firstLine="560"/>
        <w:jc w:val="both"/>
        <w:rPr>
          <w:rFonts w:ascii="仿宋" w:hAnsi="仿宋" w:eastAsia="仿宋" w:cs="宋体"/>
          <w:szCs w:val="28"/>
          <w:lang w:bidi="ar"/>
        </w:rPr>
      </w:pPr>
      <w:r>
        <w:rPr>
          <w:rFonts w:ascii="仿宋" w:hAnsi="仿宋" w:eastAsia="仿宋" w:cs="宋体"/>
          <w:szCs w:val="28"/>
          <w:lang w:bidi="ar"/>
        </w:rPr>
        <w:t>通过核实区卫生健康局提供的相关佐证材料，债券资金2,000.00万元用于城门镇卫生院外墙整修、盖山镇卫生院雁祥院区装修项目、金山街道第二卫生中心新址装修工程、金山街道卫生中心社区医院建设、临江卫生中心建设、三叉街卫生中心新址装修以及医疗机构设备集中采购项目。前期业务管理较为规范，</w:t>
      </w:r>
      <w:r>
        <w:rPr>
          <w:rFonts w:hint="eastAsia" w:ascii="仿宋" w:hAnsi="仿宋" w:eastAsia="仿宋" w:cs="宋体"/>
          <w:szCs w:val="28"/>
          <w:lang w:eastAsia="zh-CN" w:bidi="ar"/>
        </w:rPr>
        <w:t>而</w:t>
      </w:r>
      <w:r>
        <w:rPr>
          <w:rFonts w:ascii="仿宋" w:hAnsi="仿宋" w:eastAsia="仿宋" w:cs="宋体"/>
          <w:szCs w:val="28"/>
          <w:lang w:bidi="ar"/>
        </w:rPr>
        <w:t xml:space="preserve">目前部分项目资料不够齐全，无法确定全过程程序执行是否有效，且工程结算迟滞，但全部工程竣工验收报告齐全。根据主管单位提供的部分社区绩效监控报表，信息不够齐全。 </w:t>
      </w:r>
    </w:p>
    <w:p>
      <w:pPr>
        <w:pStyle w:val="35"/>
        <w:tabs>
          <w:tab w:val="left" w:pos="4606"/>
        </w:tabs>
        <w:adjustRightInd w:val="0"/>
        <w:snapToGrid w:val="0"/>
        <w:spacing w:before="0" w:beforeAutospacing="0" w:after="0" w:line="520" w:lineRule="exact"/>
        <w:ind w:left="0" w:leftChars="0" w:firstLine="560"/>
        <w:jc w:val="both"/>
        <w:rPr>
          <w:rFonts w:ascii="仿宋" w:hAnsi="仿宋" w:eastAsia="仿宋" w:cs="宋体"/>
          <w:szCs w:val="28"/>
          <w:lang w:bidi="ar"/>
        </w:rPr>
      </w:pPr>
      <w:r>
        <w:rPr>
          <w:rFonts w:ascii="仿宋" w:hAnsi="仿宋" w:eastAsia="仿宋" w:cs="宋体"/>
          <w:szCs w:val="28"/>
          <w:lang w:bidi="ar"/>
        </w:rPr>
        <w:t>根据指标体系评分标准，此项指标扣3分，绩效评价得分为2分。</w:t>
      </w:r>
    </w:p>
    <w:p>
      <w:pPr>
        <w:spacing w:line="520" w:lineRule="exact"/>
        <w:ind w:firstLine="562" w:firstLineChars="200"/>
        <w:jc w:val="both"/>
        <w:rPr>
          <w:rFonts w:hint="eastAsia" w:ascii="仿宋" w:hAnsi="仿宋" w:eastAsia="仿宋" w:cs="Calibri"/>
          <w:b/>
          <w:bCs/>
          <w:color w:val="auto"/>
          <w:sz w:val="28"/>
          <w:szCs w:val="28"/>
        </w:rPr>
      </w:pPr>
      <w:r>
        <w:rPr>
          <w:rFonts w:hint="eastAsia" w:ascii="仿宋" w:hAnsi="仿宋" w:eastAsia="仿宋" w:cs="Calibri"/>
          <w:b/>
          <w:bCs/>
          <w:color w:val="auto"/>
          <w:sz w:val="28"/>
          <w:szCs w:val="28"/>
        </w:rPr>
        <w:t>（3）信息公开（得分0分）</w:t>
      </w:r>
    </w:p>
    <w:p>
      <w:pPr>
        <w:pStyle w:val="35"/>
        <w:tabs>
          <w:tab w:val="left" w:pos="4606"/>
        </w:tabs>
        <w:adjustRightInd w:val="0"/>
        <w:snapToGrid w:val="0"/>
        <w:spacing w:before="0" w:beforeAutospacing="0" w:after="0" w:line="520" w:lineRule="exact"/>
        <w:ind w:left="0" w:leftChars="0" w:firstLine="560"/>
        <w:jc w:val="both"/>
        <w:rPr>
          <w:rFonts w:ascii="仿宋" w:hAnsi="仿宋" w:eastAsia="仿宋" w:cs="宋体"/>
          <w:szCs w:val="28"/>
          <w:lang w:bidi="ar"/>
        </w:rPr>
      </w:pPr>
      <w:r>
        <w:rPr>
          <w:rFonts w:ascii="仿宋" w:hAnsi="仿宋" w:eastAsia="仿宋" w:cs="宋体"/>
          <w:szCs w:val="28"/>
          <w:lang w:bidi="ar"/>
        </w:rPr>
        <w:t>衡量项目专项债券资金信息公开情况，用以反映和考核项目接受社会监督情况。</w:t>
      </w:r>
    </w:p>
    <w:p>
      <w:pPr>
        <w:pStyle w:val="35"/>
        <w:tabs>
          <w:tab w:val="left" w:pos="4606"/>
        </w:tabs>
        <w:adjustRightInd w:val="0"/>
        <w:snapToGrid w:val="0"/>
        <w:spacing w:before="0" w:beforeAutospacing="0" w:after="0" w:line="520" w:lineRule="exact"/>
        <w:ind w:left="0" w:leftChars="0" w:firstLine="560"/>
        <w:jc w:val="both"/>
        <w:rPr>
          <w:rFonts w:ascii="仿宋" w:hAnsi="仿宋" w:eastAsia="仿宋" w:cs="宋体"/>
          <w:szCs w:val="28"/>
          <w:lang w:bidi="ar"/>
        </w:rPr>
      </w:pPr>
      <w:r>
        <w:rPr>
          <w:rFonts w:ascii="仿宋" w:hAnsi="仿宋" w:eastAsia="仿宋" w:cs="宋体"/>
          <w:szCs w:val="28"/>
          <w:lang w:bidi="ar"/>
        </w:rPr>
        <w:t>通过核实区卫生健康局提供的相关佐证材料，目前并未发现债券资金使用公开信息。此项指标绩效评价得分为0分。</w:t>
      </w:r>
    </w:p>
    <w:p>
      <w:pPr>
        <w:spacing w:line="520" w:lineRule="exact"/>
        <w:ind w:firstLine="560" w:firstLineChars="200"/>
        <w:jc w:val="both"/>
        <w:outlineLvl w:val="1"/>
        <w:rPr>
          <w:rFonts w:hint="eastAsia" w:ascii="楷体" w:hAnsi="楷体" w:eastAsia="楷体" w:cs="楷体"/>
          <w:color w:val="auto"/>
          <w:sz w:val="28"/>
          <w:szCs w:val="28"/>
        </w:rPr>
      </w:pPr>
      <w:bookmarkStart w:id="68" w:name="_Toc186450522"/>
      <w:bookmarkStart w:id="69" w:name="_Toc108549531"/>
      <w:r>
        <w:rPr>
          <w:rFonts w:hint="eastAsia" w:ascii="楷体" w:hAnsi="楷体" w:eastAsia="楷体" w:cs="楷体"/>
          <w:color w:val="auto"/>
          <w:sz w:val="28"/>
          <w:szCs w:val="28"/>
        </w:rPr>
        <w:t>（三）项目产出情况（满分31分，得分28.45分）</w:t>
      </w:r>
      <w:bookmarkEnd w:id="68"/>
      <w:bookmarkEnd w:id="69"/>
    </w:p>
    <w:p>
      <w:pPr>
        <w:pStyle w:val="15"/>
        <w:adjustRightInd w:val="0"/>
        <w:snapToGrid w:val="0"/>
        <w:spacing w:line="520" w:lineRule="exact"/>
        <w:ind w:firstLine="562"/>
        <w:rPr>
          <w:rFonts w:hint="eastAsia" w:ascii="仿宋" w:hAnsi="仿宋" w:eastAsia="仿宋" w:cs="宋体"/>
          <w:b/>
          <w:bCs/>
          <w:szCs w:val="28"/>
        </w:rPr>
      </w:pPr>
      <w:r>
        <w:rPr>
          <w:rFonts w:hint="eastAsia" w:ascii="仿宋" w:hAnsi="仿宋" w:eastAsia="仿宋" w:cs="宋体"/>
          <w:b/>
          <w:bCs/>
          <w:szCs w:val="28"/>
        </w:rPr>
        <w:t>1.产出数量（满分16分，得分15.45分）</w:t>
      </w:r>
    </w:p>
    <w:p>
      <w:pPr>
        <w:pStyle w:val="15"/>
        <w:adjustRightInd w:val="0"/>
        <w:snapToGrid w:val="0"/>
        <w:spacing w:line="520" w:lineRule="exact"/>
        <w:ind w:firstLine="562"/>
        <w:rPr>
          <w:rFonts w:hint="eastAsia" w:ascii="仿宋" w:hAnsi="仿宋" w:eastAsia="仿宋" w:cs="宋体"/>
          <w:b/>
          <w:bCs/>
          <w:szCs w:val="28"/>
        </w:rPr>
      </w:pPr>
      <w:r>
        <w:rPr>
          <w:rFonts w:hint="eastAsia" w:ascii="仿宋" w:hAnsi="仿宋" w:eastAsia="仿宋" w:cs="宋体"/>
          <w:b/>
          <w:bCs/>
          <w:kern w:val="0"/>
          <w:szCs w:val="28"/>
        </w:rPr>
        <w:t>（1）改造面积（得分3.45分）</w:t>
      </w:r>
    </w:p>
    <w:p>
      <w:pPr>
        <w:spacing w:line="520" w:lineRule="exact"/>
        <w:ind w:firstLine="560" w:firstLineChars="200"/>
        <w:jc w:val="both"/>
        <w:textAlignment w:val="center"/>
        <w:rPr>
          <w:rFonts w:hint="eastAsia" w:ascii="仿宋" w:hAnsi="仿宋" w:eastAsia="仿宋"/>
          <w:color w:val="auto"/>
          <w:kern w:val="2"/>
          <w:sz w:val="28"/>
          <w:szCs w:val="28"/>
        </w:rPr>
      </w:pPr>
      <w:r>
        <w:rPr>
          <w:rFonts w:hint="eastAsia" w:ascii="仿宋" w:hAnsi="仿宋" w:eastAsia="仿宋" w:cs="宋体"/>
          <w:color w:val="auto"/>
          <w:sz w:val="28"/>
          <w:szCs w:val="28"/>
          <w:lang w:bidi="ar"/>
        </w:rPr>
        <w:t>衡量</w:t>
      </w:r>
      <w:r>
        <w:rPr>
          <w:rFonts w:hint="eastAsia" w:ascii="仿宋" w:hAnsi="仿宋" w:eastAsia="仿宋"/>
          <w:color w:val="auto"/>
          <w:kern w:val="2"/>
          <w:sz w:val="28"/>
          <w:szCs w:val="28"/>
        </w:rPr>
        <w:t>项目实际改造的建筑面积，包括病房、诊室、手术室、检查室等各个功能区域。这可以反映项目对医院整体环境的改善程度。</w:t>
      </w:r>
    </w:p>
    <w:p>
      <w:pPr>
        <w:spacing w:line="520" w:lineRule="exact"/>
        <w:ind w:firstLine="560" w:firstLineChars="200"/>
        <w:jc w:val="both"/>
        <w:textAlignment w:val="center"/>
        <w:rPr>
          <w:rFonts w:hint="eastAsia" w:ascii="仿宋" w:hAnsi="仿宋" w:eastAsia="仿宋"/>
          <w:color w:val="auto"/>
          <w:kern w:val="2"/>
          <w:sz w:val="28"/>
          <w:szCs w:val="28"/>
        </w:rPr>
      </w:pPr>
      <w:r>
        <w:rPr>
          <w:rFonts w:ascii="仿宋" w:hAnsi="仿宋" w:eastAsia="仿宋"/>
          <w:color w:val="auto"/>
          <w:kern w:val="2"/>
          <w:sz w:val="28"/>
          <w:szCs w:val="28"/>
        </w:rPr>
        <w:t>通过核实区卫生健康局提供的</w:t>
      </w:r>
      <w:r>
        <w:rPr>
          <w:rFonts w:hint="eastAsia" w:ascii="仿宋" w:hAnsi="仿宋" w:eastAsia="仿宋"/>
          <w:color w:val="auto"/>
          <w:kern w:val="2"/>
          <w:sz w:val="28"/>
          <w:szCs w:val="28"/>
        </w:rPr>
        <w:t>各类建设合同</w:t>
      </w:r>
      <w:r>
        <w:rPr>
          <w:rFonts w:ascii="仿宋" w:hAnsi="仿宋" w:eastAsia="仿宋"/>
          <w:color w:val="auto"/>
          <w:kern w:val="2"/>
          <w:sz w:val="28"/>
          <w:szCs w:val="28"/>
        </w:rPr>
        <w:t>材料</w:t>
      </w:r>
      <w:r>
        <w:rPr>
          <w:rFonts w:hint="eastAsia" w:ascii="仿宋" w:hAnsi="仿宋" w:eastAsia="仿宋"/>
          <w:color w:val="auto"/>
          <w:kern w:val="2"/>
          <w:sz w:val="28"/>
          <w:szCs w:val="28"/>
        </w:rPr>
        <w:t>，债券资金涉及镇街的实际改造面积情况以及计划改造面积情况如表4-1，计划改造面积参考经批复的可行性研究报告，由于城门镇卫生院是</w:t>
      </w:r>
      <w:r>
        <w:rPr>
          <w:rFonts w:ascii="仿宋" w:hAnsi="仿宋" w:eastAsia="仿宋"/>
          <w:color w:val="auto"/>
          <w:kern w:val="2"/>
          <w:sz w:val="28"/>
          <w:szCs w:val="28"/>
        </w:rPr>
        <w:t>外立面改造</w:t>
      </w:r>
      <w:r>
        <w:rPr>
          <w:rFonts w:hint="eastAsia" w:ascii="仿宋" w:hAnsi="仿宋" w:eastAsia="仿宋"/>
          <w:color w:val="auto"/>
          <w:kern w:val="2"/>
          <w:sz w:val="28"/>
          <w:szCs w:val="28"/>
        </w:rPr>
        <w:t>，可行性研究报告未表明面积，表格中暂且不计。</w:t>
      </w:r>
    </w:p>
    <w:p>
      <w:pPr>
        <w:spacing w:line="520" w:lineRule="exact"/>
        <w:ind w:firstLine="422" w:firstLineChars="200"/>
        <w:jc w:val="center"/>
        <w:textAlignment w:val="center"/>
        <w:rPr>
          <w:rFonts w:hint="eastAsia" w:ascii="仿宋" w:hAnsi="仿宋" w:eastAsia="仿宋"/>
          <w:b/>
          <w:bCs/>
          <w:color w:val="auto"/>
          <w:kern w:val="2"/>
        </w:rPr>
      </w:pPr>
      <w:r>
        <w:rPr>
          <w:rFonts w:hint="eastAsia" w:ascii="仿宋" w:hAnsi="仿宋" w:eastAsia="仿宋"/>
          <w:b/>
          <w:bCs/>
          <w:color w:val="auto"/>
          <w:kern w:val="2"/>
        </w:rPr>
        <w:t>表4-1</w:t>
      </w:r>
      <w:r>
        <w:rPr>
          <w:rFonts w:ascii="仿宋" w:hAnsi="仿宋" w:eastAsia="仿宋"/>
          <w:b/>
          <w:bCs/>
          <w:color w:val="auto"/>
          <w:kern w:val="2"/>
        </w:rPr>
        <w:t xml:space="preserve"> 项目改造面积情况表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5"/>
        <w:gridCol w:w="2389"/>
        <w:gridCol w:w="3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795" w:type="dxa"/>
          </w:tcPr>
          <w:p>
            <w:pPr>
              <w:spacing w:line="360" w:lineRule="exact"/>
              <w:jc w:val="center"/>
              <w:textAlignment w:val="center"/>
              <w:rPr>
                <w:rFonts w:hint="eastAsia" w:ascii="仿宋" w:hAnsi="仿宋" w:eastAsia="仿宋"/>
                <w:b/>
                <w:bCs/>
                <w:color w:val="auto"/>
                <w:kern w:val="2"/>
              </w:rPr>
            </w:pPr>
            <w:r>
              <w:rPr>
                <w:rFonts w:hint="eastAsia" w:ascii="仿宋" w:hAnsi="仿宋" w:eastAsia="仿宋"/>
                <w:b/>
                <w:bCs/>
                <w:color w:val="auto"/>
                <w:kern w:val="2"/>
              </w:rPr>
              <w:t>项目</w:t>
            </w:r>
          </w:p>
        </w:tc>
        <w:tc>
          <w:tcPr>
            <w:tcW w:w="2389" w:type="dxa"/>
          </w:tcPr>
          <w:p>
            <w:pPr>
              <w:spacing w:line="360" w:lineRule="exact"/>
              <w:jc w:val="center"/>
              <w:textAlignment w:val="center"/>
              <w:rPr>
                <w:rFonts w:hint="eastAsia" w:ascii="仿宋" w:hAnsi="仿宋" w:eastAsia="仿宋"/>
                <w:b/>
                <w:bCs/>
                <w:color w:val="auto"/>
                <w:kern w:val="2"/>
              </w:rPr>
            </w:pPr>
            <w:r>
              <w:rPr>
                <w:rFonts w:hint="eastAsia" w:ascii="仿宋" w:hAnsi="仿宋" w:eastAsia="仿宋"/>
                <w:b/>
                <w:bCs/>
                <w:color w:val="auto"/>
                <w:kern w:val="2"/>
              </w:rPr>
              <w:t>实际改造面积（m</w:t>
            </w:r>
            <w:r>
              <w:rPr>
                <w:rFonts w:hint="eastAsia" w:ascii="仿宋" w:hAnsi="仿宋" w:eastAsia="仿宋"/>
                <w:b/>
                <w:bCs/>
                <w:color w:val="auto"/>
                <w:kern w:val="2"/>
                <w:vertAlign w:val="superscript"/>
              </w:rPr>
              <w:t>2</w:t>
            </w:r>
            <w:r>
              <w:rPr>
                <w:rFonts w:hint="eastAsia" w:ascii="仿宋" w:hAnsi="仿宋" w:eastAsia="仿宋"/>
                <w:b/>
                <w:bCs/>
                <w:color w:val="auto"/>
                <w:kern w:val="2"/>
              </w:rPr>
              <w:t>）</w:t>
            </w:r>
          </w:p>
        </w:tc>
        <w:tc>
          <w:tcPr>
            <w:tcW w:w="3092" w:type="dxa"/>
          </w:tcPr>
          <w:p>
            <w:pPr>
              <w:spacing w:line="360" w:lineRule="exact"/>
              <w:jc w:val="center"/>
              <w:textAlignment w:val="center"/>
              <w:rPr>
                <w:rFonts w:hint="eastAsia" w:ascii="仿宋" w:hAnsi="仿宋" w:eastAsia="仿宋"/>
                <w:b/>
                <w:bCs/>
                <w:color w:val="auto"/>
                <w:kern w:val="2"/>
              </w:rPr>
            </w:pPr>
            <w:r>
              <w:rPr>
                <w:rFonts w:hint="eastAsia" w:ascii="仿宋" w:hAnsi="仿宋" w:eastAsia="仿宋"/>
                <w:b/>
                <w:bCs/>
                <w:color w:val="auto"/>
                <w:kern w:val="2"/>
              </w:rPr>
              <w:t>计划改造面积（m</w:t>
            </w:r>
            <w:r>
              <w:rPr>
                <w:rFonts w:hint="eastAsia" w:ascii="仿宋" w:hAnsi="仿宋" w:eastAsia="仿宋"/>
                <w:b/>
                <w:bCs/>
                <w:color w:val="auto"/>
                <w:kern w:val="2"/>
                <w:vertAlign w:val="superscript"/>
              </w:rPr>
              <w:t>2</w:t>
            </w:r>
            <w:r>
              <w:rPr>
                <w:rFonts w:hint="eastAsia" w:ascii="仿宋" w:hAnsi="仿宋" w:eastAsia="仿宋"/>
                <w:b/>
                <w:bCs/>
                <w:color w:val="auto"/>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795" w:type="dxa"/>
          </w:tcPr>
          <w:p>
            <w:pPr>
              <w:spacing w:line="360" w:lineRule="exact"/>
              <w:jc w:val="center"/>
              <w:textAlignment w:val="center"/>
              <w:rPr>
                <w:rFonts w:hint="eastAsia" w:ascii="仿宋" w:hAnsi="仿宋" w:eastAsia="仿宋"/>
                <w:color w:val="auto"/>
                <w:kern w:val="2"/>
              </w:rPr>
            </w:pPr>
            <w:r>
              <w:rPr>
                <w:rFonts w:hint="eastAsia" w:ascii="仿宋" w:hAnsi="仿宋" w:eastAsia="仿宋"/>
                <w:color w:val="auto"/>
                <w:kern w:val="2"/>
              </w:rPr>
              <w:t>金山街道卫生中心社区医院</w:t>
            </w:r>
          </w:p>
        </w:tc>
        <w:tc>
          <w:tcPr>
            <w:tcW w:w="2389" w:type="dxa"/>
          </w:tcPr>
          <w:p>
            <w:pPr>
              <w:spacing w:line="360" w:lineRule="exact"/>
              <w:jc w:val="center"/>
              <w:textAlignment w:val="center"/>
              <w:rPr>
                <w:rFonts w:hint="eastAsia" w:ascii="仿宋" w:hAnsi="仿宋" w:eastAsia="仿宋"/>
                <w:color w:val="auto"/>
                <w:kern w:val="2"/>
              </w:rPr>
            </w:pPr>
            <w:r>
              <w:rPr>
                <w:rFonts w:hint="eastAsia" w:ascii="仿宋" w:hAnsi="仿宋" w:eastAsia="仿宋"/>
                <w:color w:val="auto"/>
                <w:kern w:val="2"/>
              </w:rPr>
              <w:t>2,497</w:t>
            </w:r>
          </w:p>
        </w:tc>
        <w:tc>
          <w:tcPr>
            <w:tcW w:w="3092" w:type="dxa"/>
          </w:tcPr>
          <w:p>
            <w:pPr>
              <w:spacing w:line="360" w:lineRule="exact"/>
              <w:jc w:val="center"/>
              <w:textAlignment w:val="center"/>
              <w:rPr>
                <w:rFonts w:hint="eastAsia" w:ascii="仿宋" w:hAnsi="仿宋" w:eastAsia="仿宋"/>
                <w:color w:val="auto"/>
                <w:kern w:val="2"/>
              </w:rPr>
            </w:pPr>
            <w:r>
              <w:rPr>
                <w:rFonts w:ascii="仿宋" w:hAnsi="仿宋" w:eastAsia="仿宋"/>
                <w:color w:val="auto"/>
                <w:kern w:val="2"/>
              </w:rPr>
              <w:t>4</w:t>
            </w:r>
            <w:r>
              <w:rPr>
                <w:rFonts w:hint="eastAsia" w:ascii="仿宋" w:hAnsi="仿宋" w:eastAsia="仿宋"/>
                <w:color w:val="auto"/>
                <w:kern w:val="2"/>
              </w:rPr>
              <w:t>,</w:t>
            </w:r>
            <w:r>
              <w:rPr>
                <w:rFonts w:ascii="仿宋" w:hAnsi="仿宋" w:eastAsia="仿宋"/>
                <w:color w:val="auto"/>
                <w:kern w:val="2"/>
              </w:rPr>
              <w:t>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795" w:type="dxa"/>
          </w:tcPr>
          <w:p>
            <w:pPr>
              <w:spacing w:line="360" w:lineRule="exact"/>
              <w:jc w:val="center"/>
              <w:textAlignment w:val="center"/>
              <w:rPr>
                <w:rFonts w:hint="eastAsia" w:ascii="仿宋" w:hAnsi="仿宋" w:eastAsia="仿宋"/>
                <w:color w:val="auto"/>
                <w:kern w:val="2"/>
              </w:rPr>
            </w:pPr>
            <w:r>
              <w:rPr>
                <w:rFonts w:hint="eastAsia" w:ascii="仿宋" w:hAnsi="仿宋" w:eastAsia="仿宋"/>
                <w:color w:val="auto"/>
                <w:kern w:val="2"/>
              </w:rPr>
              <w:t>金山街道第二社区卫生服务中心</w:t>
            </w:r>
          </w:p>
        </w:tc>
        <w:tc>
          <w:tcPr>
            <w:tcW w:w="2389" w:type="dxa"/>
          </w:tcPr>
          <w:p>
            <w:pPr>
              <w:spacing w:line="360" w:lineRule="exact"/>
              <w:jc w:val="center"/>
              <w:textAlignment w:val="center"/>
              <w:rPr>
                <w:rFonts w:hint="eastAsia" w:ascii="仿宋" w:hAnsi="仿宋" w:eastAsia="仿宋"/>
                <w:color w:val="auto"/>
                <w:kern w:val="2"/>
              </w:rPr>
            </w:pPr>
            <w:r>
              <w:rPr>
                <w:rFonts w:hint="eastAsia" w:ascii="仿宋" w:hAnsi="仿宋" w:eastAsia="仿宋"/>
                <w:color w:val="auto"/>
                <w:kern w:val="2"/>
              </w:rPr>
              <w:t>2,000</w:t>
            </w:r>
          </w:p>
        </w:tc>
        <w:tc>
          <w:tcPr>
            <w:tcW w:w="3092" w:type="dxa"/>
          </w:tcPr>
          <w:p>
            <w:pPr>
              <w:spacing w:line="360" w:lineRule="exact"/>
              <w:jc w:val="center"/>
              <w:textAlignment w:val="center"/>
              <w:rPr>
                <w:rFonts w:hint="eastAsia" w:ascii="仿宋" w:hAnsi="仿宋" w:eastAsia="仿宋"/>
                <w:color w:val="auto"/>
                <w:kern w:val="2"/>
              </w:rPr>
            </w:pPr>
            <w:r>
              <w:rPr>
                <w:rFonts w:ascii="仿宋" w:hAnsi="仿宋" w:eastAsia="仿宋"/>
                <w:color w:val="auto"/>
                <w:kern w:val="2"/>
              </w:rPr>
              <w:t>1</w:t>
            </w:r>
            <w:r>
              <w:rPr>
                <w:rFonts w:hint="eastAsia" w:ascii="仿宋" w:hAnsi="仿宋" w:eastAsia="仿宋"/>
                <w:color w:val="auto"/>
                <w:kern w:val="2"/>
              </w:rPr>
              <w:t>,</w:t>
            </w:r>
            <w:r>
              <w:rPr>
                <w:rFonts w:ascii="仿宋" w:hAnsi="仿宋" w:eastAsia="仿宋"/>
                <w:color w:val="auto"/>
                <w:kern w:val="2"/>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795" w:type="dxa"/>
          </w:tcPr>
          <w:p>
            <w:pPr>
              <w:spacing w:line="360" w:lineRule="exact"/>
              <w:jc w:val="center"/>
              <w:textAlignment w:val="center"/>
              <w:rPr>
                <w:rFonts w:hint="eastAsia" w:ascii="仿宋" w:hAnsi="仿宋" w:eastAsia="仿宋"/>
                <w:color w:val="auto"/>
                <w:kern w:val="2"/>
              </w:rPr>
            </w:pPr>
            <w:r>
              <w:rPr>
                <w:rFonts w:hint="eastAsia" w:ascii="仿宋" w:hAnsi="仿宋" w:eastAsia="仿宋"/>
                <w:color w:val="auto"/>
                <w:kern w:val="2"/>
              </w:rPr>
              <w:t>临江街道社区卫生服务中心</w:t>
            </w:r>
          </w:p>
        </w:tc>
        <w:tc>
          <w:tcPr>
            <w:tcW w:w="2389" w:type="dxa"/>
          </w:tcPr>
          <w:p>
            <w:pPr>
              <w:spacing w:line="360" w:lineRule="exact"/>
              <w:jc w:val="center"/>
              <w:textAlignment w:val="center"/>
              <w:rPr>
                <w:rFonts w:hint="eastAsia" w:ascii="仿宋" w:hAnsi="仿宋" w:eastAsia="仿宋"/>
                <w:color w:val="auto"/>
                <w:kern w:val="2"/>
              </w:rPr>
            </w:pPr>
            <w:r>
              <w:rPr>
                <w:rFonts w:hint="eastAsia" w:ascii="仿宋" w:hAnsi="仿宋" w:eastAsia="仿宋"/>
                <w:color w:val="auto"/>
                <w:kern w:val="2"/>
              </w:rPr>
              <w:t>1,550</w:t>
            </w:r>
          </w:p>
        </w:tc>
        <w:tc>
          <w:tcPr>
            <w:tcW w:w="3092" w:type="dxa"/>
          </w:tcPr>
          <w:p>
            <w:pPr>
              <w:spacing w:line="360" w:lineRule="exact"/>
              <w:jc w:val="center"/>
              <w:textAlignment w:val="center"/>
              <w:rPr>
                <w:rFonts w:hint="eastAsia" w:ascii="仿宋" w:hAnsi="仿宋" w:eastAsia="仿宋"/>
                <w:color w:val="auto"/>
                <w:kern w:val="2"/>
              </w:rPr>
            </w:pPr>
            <w:r>
              <w:rPr>
                <w:rFonts w:ascii="仿宋" w:hAnsi="仿宋" w:eastAsia="仿宋"/>
                <w:color w:val="auto"/>
                <w:kern w:val="2"/>
              </w:rPr>
              <w:t>1</w:t>
            </w:r>
            <w:r>
              <w:rPr>
                <w:rFonts w:hint="eastAsia" w:ascii="仿宋" w:hAnsi="仿宋" w:eastAsia="仿宋"/>
                <w:color w:val="auto"/>
                <w:kern w:val="2"/>
              </w:rPr>
              <w:t>,</w:t>
            </w:r>
            <w:r>
              <w:rPr>
                <w:rFonts w:ascii="仿宋" w:hAnsi="仿宋" w:eastAsia="仿宋"/>
                <w:color w:val="auto"/>
                <w:kern w:val="2"/>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795" w:type="dxa"/>
          </w:tcPr>
          <w:p>
            <w:pPr>
              <w:spacing w:line="360" w:lineRule="exact"/>
              <w:jc w:val="center"/>
              <w:textAlignment w:val="center"/>
              <w:rPr>
                <w:rFonts w:hint="eastAsia" w:ascii="仿宋" w:hAnsi="仿宋" w:eastAsia="仿宋"/>
                <w:color w:val="auto"/>
                <w:kern w:val="2"/>
              </w:rPr>
            </w:pPr>
            <w:bookmarkStart w:id="70" w:name="_Hlk186398866"/>
            <w:r>
              <w:rPr>
                <w:rFonts w:hint="eastAsia" w:ascii="仿宋" w:hAnsi="仿宋" w:eastAsia="仿宋"/>
                <w:color w:val="auto"/>
                <w:kern w:val="2"/>
              </w:rPr>
              <w:t>三叉街街道社区卫生服务中心</w:t>
            </w:r>
            <w:bookmarkEnd w:id="70"/>
          </w:p>
        </w:tc>
        <w:tc>
          <w:tcPr>
            <w:tcW w:w="2389" w:type="dxa"/>
          </w:tcPr>
          <w:p>
            <w:pPr>
              <w:spacing w:line="360" w:lineRule="exact"/>
              <w:jc w:val="center"/>
              <w:textAlignment w:val="center"/>
              <w:rPr>
                <w:rFonts w:hint="eastAsia" w:ascii="仿宋" w:hAnsi="仿宋" w:eastAsia="仿宋"/>
                <w:color w:val="auto"/>
                <w:kern w:val="2"/>
              </w:rPr>
            </w:pPr>
            <w:r>
              <w:rPr>
                <w:rFonts w:hint="eastAsia" w:ascii="仿宋" w:hAnsi="仿宋" w:eastAsia="仿宋"/>
                <w:color w:val="auto"/>
                <w:kern w:val="2"/>
              </w:rPr>
              <w:t>2,000</w:t>
            </w:r>
          </w:p>
        </w:tc>
        <w:tc>
          <w:tcPr>
            <w:tcW w:w="3092" w:type="dxa"/>
          </w:tcPr>
          <w:p>
            <w:pPr>
              <w:spacing w:line="360" w:lineRule="exact"/>
              <w:jc w:val="center"/>
              <w:textAlignment w:val="center"/>
              <w:rPr>
                <w:rFonts w:hint="eastAsia" w:ascii="仿宋" w:hAnsi="仿宋" w:eastAsia="仿宋"/>
                <w:color w:val="auto"/>
                <w:kern w:val="2"/>
              </w:rPr>
            </w:pPr>
            <w:r>
              <w:rPr>
                <w:rFonts w:ascii="仿宋" w:hAnsi="仿宋" w:eastAsia="仿宋"/>
                <w:color w:val="auto"/>
                <w:kern w:val="2"/>
              </w:rPr>
              <w:t>2</w:t>
            </w:r>
            <w:r>
              <w:rPr>
                <w:rFonts w:hint="eastAsia" w:ascii="仿宋" w:hAnsi="仿宋" w:eastAsia="仿宋"/>
                <w:color w:val="auto"/>
                <w:kern w:val="2"/>
              </w:rPr>
              <w:t>,</w:t>
            </w:r>
            <w:r>
              <w:rPr>
                <w:rFonts w:ascii="仿宋" w:hAnsi="仿宋" w:eastAsia="仿宋"/>
                <w:color w:val="auto"/>
                <w:kern w:val="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795" w:type="dxa"/>
          </w:tcPr>
          <w:p>
            <w:pPr>
              <w:spacing w:line="360" w:lineRule="exact"/>
              <w:jc w:val="center"/>
              <w:textAlignment w:val="center"/>
              <w:rPr>
                <w:rFonts w:hint="eastAsia" w:ascii="仿宋" w:hAnsi="仿宋" w:eastAsia="仿宋"/>
                <w:color w:val="auto"/>
                <w:kern w:val="2"/>
              </w:rPr>
            </w:pPr>
            <w:bookmarkStart w:id="71" w:name="_Hlk186398920"/>
            <w:r>
              <w:rPr>
                <w:rFonts w:hint="eastAsia" w:ascii="仿宋" w:hAnsi="仿宋" w:eastAsia="仿宋"/>
                <w:color w:val="auto"/>
                <w:kern w:val="2"/>
              </w:rPr>
              <w:t>盖山镇卫生院</w:t>
            </w:r>
            <w:bookmarkEnd w:id="71"/>
          </w:p>
        </w:tc>
        <w:tc>
          <w:tcPr>
            <w:tcW w:w="2389" w:type="dxa"/>
          </w:tcPr>
          <w:p>
            <w:pPr>
              <w:spacing w:line="360" w:lineRule="exact"/>
              <w:jc w:val="center"/>
              <w:textAlignment w:val="center"/>
              <w:rPr>
                <w:rFonts w:hint="eastAsia" w:ascii="仿宋" w:hAnsi="仿宋" w:eastAsia="仿宋"/>
                <w:color w:val="auto"/>
                <w:kern w:val="2"/>
              </w:rPr>
            </w:pPr>
            <w:r>
              <w:rPr>
                <w:rFonts w:hint="eastAsia" w:ascii="仿宋" w:hAnsi="仿宋" w:eastAsia="仿宋"/>
                <w:color w:val="auto"/>
                <w:kern w:val="2"/>
              </w:rPr>
              <w:t>1,889.12</w:t>
            </w:r>
          </w:p>
        </w:tc>
        <w:tc>
          <w:tcPr>
            <w:tcW w:w="3092" w:type="dxa"/>
          </w:tcPr>
          <w:p>
            <w:pPr>
              <w:spacing w:line="360" w:lineRule="exact"/>
              <w:jc w:val="center"/>
              <w:textAlignment w:val="center"/>
              <w:rPr>
                <w:rFonts w:hint="eastAsia" w:ascii="仿宋" w:hAnsi="仿宋" w:eastAsia="仿宋"/>
                <w:color w:val="auto"/>
                <w:kern w:val="2"/>
              </w:rPr>
            </w:pPr>
            <w:r>
              <w:rPr>
                <w:rFonts w:ascii="仿宋" w:hAnsi="仿宋" w:eastAsia="仿宋"/>
                <w:color w:val="auto"/>
                <w:kern w:val="2"/>
              </w:rPr>
              <w:t>2</w:t>
            </w:r>
            <w:r>
              <w:rPr>
                <w:rFonts w:hint="eastAsia" w:ascii="仿宋" w:hAnsi="仿宋" w:eastAsia="仿宋"/>
                <w:color w:val="auto"/>
                <w:kern w:val="2"/>
              </w:rPr>
              <w:t>,</w:t>
            </w:r>
            <w:r>
              <w:rPr>
                <w:rFonts w:ascii="仿宋" w:hAnsi="仿宋" w:eastAsia="仿宋"/>
                <w:color w:val="auto"/>
                <w:kern w:val="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795" w:type="dxa"/>
          </w:tcPr>
          <w:p>
            <w:pPr>
              <w:spacing w:line="360" w:lineRule="exact"/>
              <w:jc w:val="center"/>
              <w:textAlignment w:val="center"/>
              <w:rPr>
                <w:rFonts w:hint="eastAsia" w:ascii="仿宋" w:hAnsi="仿宋" w:eastAsia="仿宋"/>
                <w:color w:val="auto"/>
                <w:kern w:val="2"/>
              </w:rPr>
            </w:pPr>
            <w:r>
              <w:rPr>
                <w:rFonts w:hint="eastAsia" w:ascii="仿宋" w:hAnsi="仿宋" w:eastAsia="仿宋"/>
                <w:color w:val="auto"/>
                <w:kern w:val="2"/>
              </w:rPr>
              <w:t>合计</w:t>
            </w:r>
          </w:p>
        </w:tc>
        <w:tc>
          <w:tcPr>
            <w:tcW w:w="2389" w:type="dxa"/>
          </w:tcPr>
          <w:p>
            <w:pPr>
              <w:spacing w:line="360" w:lineRule="exact"/>
              <w:jc w:val="center"/>
              <w:textAlignment w:val="center"/>
              <w:rPr>
                <w:rFonts w:hint="eastAsia" w:ascii="仿宋" w:hAnsi="仿宋" w:eastAsia="仿宋"/>
                <w:color w:val="auto"/>
                <w:kern w:val="2"/>
              </w:rPr>
            </w:pPr>
            <w:r>
              <w:rPr>
                <w:rFonts w:hint="eastAsia" w:ascii="仿宋" w:hAnsi="仿宋" w:eastAsia="仿宋"/>
                <w:color w:val="auto"/>
                <w:kern w:val="2"/>
              </w:rPr>
              <w:t>9,936.12</w:t>
            </w:r>
          </w:p>
        </w:tc>
        <w:tc>
          <w:tcPr>
            <w:tcW w:w="3092" w:type="dxa"/>
          </w:tcPr>
          <w:p>
            <w:pPr>
              <w:spacing w:line="360" w:lineRule="exact"/>
              <w:jc w:val="center"/>
              <w:textAlignment w:val="center"/>
              <w:rPr>
                <w:rFonts w:hint="eastAsia" w:ascii="仿宋" w:hAnsi="仿宋" w:eastAsia="仿宋"/>
                <w:color w:val="auto"/>
                <w:kern w:val="2"/>
              </w:rPr>
            </w:pPr>
            <w:r>
              <w:rPr>
                <w:rFonts w:hint="eastAsia" w:ascii="仿宋" w:hAnsi="仿宋" w:eastAsia="仿宋"/>
                <w:color w:val="auto"/>
                <w:kern w:val="2"/>
              </w:rPr>
              <w:t>11,504</w:t>
            </w:r>
          </w:p>
        </w:tc>
      </w:tr>
    </w:tbl>
    <w:p>
      <w:pPr>
        <w:spacing w:line="360" w:lineRule="exact"/>
        <w:ind w:firstLine="560" w:firstLineChars="200"/>
        <w:jc w:val="both"/>
        <w:textAlignment w:val="center"/>
        <w:rPr>
          <w:rFonts w:hint="eastAsia" w:ascii="仿宋" w:hAnsi="仿宋" w:eastAsia="仿宋"/>
          <w:color w:val="auto"/>
          <w:kern w:val="2"/>
          <w:sz w:val="28"/>
          <w:szCs w:val="28"/>
        </w:rPr>
      </w:pPr>
      <w:r>
        <w:rPr>
          <w:rFonts w:hint="eastAsia" w:ascii="仿宋" w:hAnsi="仿宋" w:eastAsia="仿宋"/>
          <w:color w:val="auto"/>
          <w:kern w:val="2"/>
          <w:sz w:val="28"/>
          <w:szCs w:val="28"/>
        </w:rPr>
        <w:t>根据上表，实际改造面积小于计划改造面积，该项指标得分为9,936.12/11,504×</w:t>
      </w:r>
      <w:r>
        <w:rPr>
          <w:rFonts w:ascii="仿宋" w:hAnsi="仿宋" w:eastAsia="仿宋"/>
          <w:color w:val="auto"/>
          <w:kern w:val="2"/>
          <w:sz w:val="28"/>
          <w:szCs w:val="28"/>
        </w:rPr>
        <w:t>100%</w:t>
      </w:r>
      <w:r>
        <w:rPr>
          <w:rFonts w:hint="eastAsia" w:ascii="仿宋" w:hAnsi="仿宋" w:eastAsia="仿宋"/>
          <w:color w:val="auto"/>
          <w:kern w:val="2"/>
          <w:sz w:val="28"/>
          <w:szCs w:val="28"/>
        </w:rPr>
        <w:t>×4分=3.45分。</w:t>
      </w:r>
    </w:p>
    <w:p>
      <w:pPr>
        <w:shd w:val="clear" w:color="auto" w:fill="FFFFFF"/>
        <w:spacing w:line="520" w:lineRule="exact"/>
        <w:ind w:firstLine="482"/>
        <w:jc w:val="both"/>
        <w:rPr>
          <w:rFonts w:hint="eastAsia" w:ascii="仿宋" w:hAnsi="仿宋" w:eastAsia="仿宋" w:cs="宋体"/>
          <w:b/>
          <w:bCs/>
          <w:color w:val="auto"/>
          <w:sz w:val="28"/>
          <w:szCs w:val="28"/>
        </w:rPr>
      </w:pPr>
      <w:r>
        <w:rPr>
          <w:rFonts w:hint="eastAsia" w:ascii="仿宋" w:hAnsi="仿宋" w:eastAsia="仿宋" w:cs="宋体"/>
          <w:b/>
          <w:bCs/>
          <w:color w:val="auto"/>
          <w:sz w:val="28"/>
          <w:szCs w:val="28"/>
        </w:rPr>
        <w:t>（</w:t>
      </w:r>
      <w:r>
        <w:rPr>
          <w:rFonts w:ascii="仿宋" w:hAnsi="仿宋" w:eastAsia="仿宋" w:cs="宋体"/>
          <w:b/>
          <w:bCs/>
          <w:color w:val="auto"/>
          <w:sz w:val="28"/>
          <w:szCs w:val="28"/>
        </w:rPr>
        <w:t>2</w:t>
      </w:r>
      <w:r>
        <w:rPr>
          <w:rFonts w:hint="eastAsia" w:ascii="仿宋" w:hAnsi="仿宋" w:eastAsia="仿宋" w:cs="宋体"/>
          <w:b/>
          <w:bCs/>
          <w:color w:val="auto"/>
          <w:sz w:val="28"/>
          <w:szCs w:val="28"/>
        </w:rPr>
        <w:t>）新增/改造病床数量（得分4分）</w:t>
      </w:r>
    </w:p>
    <w:p>
      <w:pPr>
        <w:spacing w:line="520" w:lineRule="exact"/>
        <w:ind w:firstLine="560" w:firstLineChars="200"/>
        <w:jc w:val="both"/>
        <w:textAlignment w:val="center"/>
        <w:rPr>
          <w:rFonts w:hint="eastAsia" w:ascii="仿宋" w:hAnsi="仿宋" w:eastAsia="仿宋"/>
          <w:color w:val="auto"/>
          <w:kern w:val="2"/>
          <w:sz w:val="28"/>
          <w:szCs w:val="28"/>
        </w:rPr>
      </w:pPr>
      <w:r>
        <w:rPr>
          <w:rFonts w:hint="eastAsia" w:ascii="仿宋" w:hAnsi="仿宋" w:eastAsia="仿宋" w:cs="宋体"/>
          <w:color w:val="auto"/>
          <w:sz w:val="28"/>
          <w:szCs w:val="28"/>
          <w:lang w:bidi="ar"/>
        </w:rPr>
        <w:t>衡量改</w:t>
      </w:r>
      <w:r>
        <w:rPr>
          <w:rFonts w:hint="eastAsia" w:ascii="仿宋" w:hAnsi="仿宋" w:eastAsia="仿宋"/>
          <w:color w:val="auto"/>
          <w:kern w:val="2"/>
          <w:sz w:val="28"/>
          <w:szCs w:val="28"/>
        </w:rPr>
        <w:t>造项目完成后，医院新增或改造的病床数量。反映和考核医院容纳患者能力的提升。</w:t>
      </w:r>
    </w:p>
    <w:p>
      <w:pPr>
        <w:spacing w:line="520" w:lineRule="exact"/>
        <w:ind w:firstLine="560" w:firstLineChars="200"/>
        <w:jc w:val="both"/>
        <w:textAlignment w:val="center"/>
        <w:rPr>
          <w:rFonts w:hint="eastAsia" w:ascii="仿宋" w:hAnsi="仿宋" w:eastAsia="仿宋"/>
          <w:color w:val="auto"/>
          <w:kern w:val="2"/>
          <w:sz w:val="28"/>
          <w:szCs w:val="28"/>
        </w:rPr>
      </w:pPr>
      <w:r>
        <w:rPr>
          <w:rFonts w:ascii="仿宋" w:hAnsi="仿宋" w:eastAsia="仿宋"/>
          <w:color w:val="auto"/>
          <w:kern w:val="2"/>
          <w:sz w:val="28"/>
          <w:szCs w:val="28"/>
        </w:rPr>
        <w:t>通过核实区卫生健康局提供的</w:t>
      </w:r>
      <w:r>
        <w:rPr>
          <w:rFonts w:hint="eastAsia" w:ascii="仿宋" w:hAnsi="仿宋" w:eastAsia="仿宋"/>
          <w:color w:val="auto"/>
          <w:kern w:val="2"/>
          <w:sz w:val="28"/>
          <w:szCs w:val="28"/>
        </w:rPr>
        <w:t>佐证资料以及访谈调研，根据可行性研究报告债券资金涉及镇街中计划新增/改造病床数为20床，实际数为35床。</w:t>
      </w:r>
    </w:p>
    <w:p>
      <w:pPr>
        <w:spacing w:line="520" w:lineRule="exact"/>
        <w:ind w:firstLine="560" w:firstLineChars="200"/>
        <w:jc w:val="both"/>
        <w:textAlignment w:val="center"/>
        <w:rPr>
          <w:rFonts w:hint="eastAsia" w:ascii="仿宋" w:hAnsi="仿宋" w:eastAsia="仿宋"/>
          <w:color w:val="auto"/>
          <w:kern w:val="2"/>
          <w:sz w:val="28"/>
          <w:szCs w:val="28"/>
        </w:rPr>
      </w:pPr>
      <w:r>
        <w:rPr>
          <w:rFonts w:hint="eastAsia" w:ascii="仿宋" w:hAnsi="仿宋" w:eastAsia="仿宋"/>
          <w:color w:val="auto"/>
          <w:kern w:val="2"/>
          <w:sz w:val="28"/>
          <w:szCs w:val="28"/>
        </w:rPr>
        <w:t>根据指标体系评分标准，此项指标绩效评价得分为4分。</w:t>
      </w:r>
    </w:p>
    <w:p>
      <w:pPr>
        <w:shd w:val="clear" w:color="auto" w:fill="FFFFFF"/>
        <w:spacing w:line="520" w:lineRule="exact"/>
        <w:ind w:firstLine="482"/>
        <w:jc w:val="both"/>
        <w:rPr>
          <w:rFonts w:hint="eastAsia" w:ascii="仿宋" w:hAnsi="仿宋" w:eastAsia="仿宋" w:cs="宋体"/>
          <w:b/>
          <w:bCs/>
          <w:color w:val="auto"/>
          <w:sz w:val="28"/>
          <w:szCs w:val="28"/>
        </w:rPr>
      </w:pPr>
      <w:r>
        <w:rPr>
          <w:rFonts w:hint="eastAsia" w:ascii="仿宋" w:hAnsi="仿宋" w:eastAsia="仿宋" w:cs="宋体"/>
          <w:b/>
          <w:bCs/>
          <w:color w:val="auto"/>
          <w:sz w:val="28"/>
          <w:szCs w:val="28"/>
        </w:rPr>
        <w:t>（</w:t>
      </w:r>
      <w:r>
        <w:rPr>
          <w:rFonts w:ascii="仿宋" w:hAnsi="仿宋" w:eastAsia="仿宋" w:cs="宋体"/>
          <w:b/>
          <w:bCs/>
          <w:color w:val="auto"/>
          <w:sz w:val="28"/>
          <w:szCs w:val="28"/>
        </w:rPr>
        <w:t>3</w:t>
      </w:r>
      <w:r>
        <w:rPr>
          <w:rFonts w:hint="eastAsia" w:ascii="仿宋" w:hAnsi="仿宋" w:eastAsia="仿宋" w:cs="宋体"/>
          <w:b/>
          <w:bCs/>
          <w:color w:val="auto"/>
          <w:sz w:val="28"/>
          <w:szCs w:val="28"/>
        </w:rPr>
        <w:t>）新增医疗设备数量（得分4分）</w:t>
      </w:r>
    </w:p>
    <w:p>
      <w:pPr>
        <w:spacing w:line="520" w:lineRule="exact"/>
        <w:ind w:firstLine="560" w:firstLineChars="200"/>
        <w:jc w:val="both"/>
        <w:textAlignment w:val="center"/>
        <w:rPr>
          <w:rFonts w:hint="eastAsia" w:ascii="仿宋" w:hAnsi="仿宋" w:eastAsia="仿宋"/>
          <w:color w:val="auto"/>
          <w:kern w:val="2"/>
          <w:sz w:val="28"/>
          <w:szCs w:val="28"/>
        </w:rPr>
      </w:pPr>
      <w:r>
        <w:rPr>
          <w:rFonts w:hint="eastAsia" w:ascii="仿宋" w:hAnsi="仿宋" w:eastAsia="仿宋" w:cs="宋体"/>
          <w:color w:val="auto"/>
          <w:sz w:val="28"/>
          <w:szCs w:val="28"/>
          <w:lang w:bidi="ar"/>
        </w:rPr>
        <w:t>衡量</w:t>
      </w:r>
      <w:r>
        <w:rPr>
          <w:rFonts w:hint="eastAsia" w:ascii="仿宋" w:hAnsi="仿宋" w:eastAsia="仿宋"/>
          <w:color w:val="auto"/>
          <w:kern w:val="2"/>
          <w:sz w:val="28"/>
          <w:szCs w:val="28"/>
        </w:rPr>
        <w:t>改造项目完成后，医院新增的医疗设备数量。这可以包括新的诊断设备、治疗设备、检查仪器等。</w:t>
      </w:r>
    </w:p>
    <w:p>
      <w:pPr>
        <w:spacing w:line="520" w:lineRule="exact"/>
        <w:ind w:firstLine="560" w:firstLineChars="200"/>
        <w:jc w:val="both"/>
        <w:textAlignment w:val="center"/>
        <w:rPr>
          <w:rFonts w:hint="eastAsia" w:ascii="仿宋" w:hAnsi="仿宋" w:eastAsia="仿宋"/>
          <w:color w:val="auto"/>
          <w:kern w:val="2"/>
          <w:sz w:val="28"/>
          <w:szCs w:val="28"/>
        </w:rPr>
      </w:pPr>
      <w:r>
        <w:rPr>
          <w:rFonts w:ascii="仿宋" w:hAnsi="仿宋" w:eastAsia="仿宋"/>
          <w:color w:val="auto"/>
          <w:kern w:val="2"/>
          <w:sz w:val="28"/>
          <w:szCs w:val="28"/>
        </w:rPr>
        <w:t>通过核实区卫生健康局提供的</w:t>
      </w:r>
      <w:r>
        <w:rPr>
          <w:rFonts w:hint="eastAsia" w:ascii="仿宋" w:hAnsi="仿宋" w:eastAsia="仿宋"/>
          <w:color w:val="auto"/>
          <w:kern w:val="2"/>
          <w:sz w:val="28"/>
          <w:szCs w:val="28"/>
        </w:rPr>
        <w:t>佐证资料以及访谈调研，该债券资金已购买全自动生化分析仪、全自动血液分析仪、</w:t>
      </w:r>
      <w:r>
        <w:rPr>
          <w:rFonts w:ascii="仿宋" w:hAnsi="仿宋" w:eastAsia="仿宋"/>
          <w:color w:val="auto"/>
          <w:kern w:val="2"/>
          <w:sz w:val="28"/>
          <w:szCs w:val="28"/>
        </w:rPr>
        <w:t>彩色多普勒超声诊断仪</w:t>
      </w:r>
      <w:r>
        <w:rPr>
          <w:rFonts w:hint="eastAsia" w:ascii="仿宋" w:hAnsi="仿宋" w:eastAsia="仿宋"/>
          <w:color w:val="auto"/>
          <w:kern w:val="2"/>
          <w:sz w:val="28"/>
          <w:szCs w:val="28"/>
        </w:rPr>
        <w:t>等共25台设备，达到目标值。</w:t>
      </w:r>
    </w:p>
    <w:p>
      <w:pPr>
        <w:spacing w:line="520" w:lineRule="exact"/>
        <w:ind w:firstLine="560" w:firstLineChars="200"/>
        <w:jc w:val="both"/>
        <w:textAlignment w:val="center"/>
        <w:rPr>
          <w:rFonts w:hint="eastAsia" w:ascii="仿宋" w:hAnsi="仿宋" w:eastAsia="仿宋"/>
          <w:color w:val="auto"/>
          <w:kern w:val="2"/>
          <w:sz w:val="28"/>
          <w:szCs w:val="28"/>
        </w:rPr>
      </w:pPr>
      <w:r>
        <w:rPr>
          <w:rFonts w:hint="eastAsia" w:ascii="仿宋" w:hAnsi="仿宋" w:eastAsia="仿宋"/>
          <w:color w:val="auto"/>
          <w:kern w:val="2"/>
          <w:sz w:val="28"/>
          <w:szCs w:val="28"/>
        </w:rPr>
        <w:t>根据指标体系评分标准，此项指标绩效评价得分为4分。</w:t>
      </w:r>
    </w:p>
    <w:p>
      <w:pPr>
        <w:shd w:val="clear" w:color="auto" w:fill="FFFFFF"/>
        <w:spacing w:line="520" w:lineRule="exact"/>
        <w:ind w:firstLine="482"/>
        <w:jc w:val="both"/>
        <w:rPr>
          <w:rFonts w:hint="eastAsia" w:ascii="仿宋" w:hAnsi="仿宋" w:eastAsia="仿宋" w:cs="宋体"/>
          <w:b/>
          <w:bCs/>
          <w:color w:val="auto"/>
          <w:sz w:val="28"/>
          <w:szCs w:val="28"/>
        </w:rPr>
      </w:pPr>
      <w:r>
        <w:rPr>
          <w:rFonts w:hint="eastAsia" w:ascii="仿宋" w:hAnsi="仿宋" w:eastAsia="仿宋" w:cs="宋体"/>
          <w:b/>
          <w:bCs/>
          <w:color w:val="auto"/>
          <w:sz w:val="28"/>
          <w:szCs w:val="28"/>
        </w:rPr>
        <w:t>（</w:t>
      </w:r>
      <w:r>
        <w:rPr>
          <w:rFonts w:ascii="仿宋" w:hAnsi="仿宋" w:eastAsia="仿宋" w:cs="宋体"/>
          <w:b/>
          <w:bCs/>
          <w:color w:val="auto"/>
          <w:sz w:val="28"/>
          <w:szCs w:val="28"/>
        </w:rPr>
        <w:t>4</w:t>
      </w:r>
      <w:r>
        <w:rPr>
          <w:rFonts w:hint="eastAsia" w:ascii="仿宋" w:hAnsi="仿宋" w:eastAsia="仿宋" w:cs="宋体"/>
          <w:b/>
          <w:bCs/>
          <w:color w:val="auto"/>
          <w:sz w:val="28"/>
          <w:szCs w:val="28"/>
        </w:rPr>
        <w:t>）每职工年诊疗人次（得分4分）</w:t>
      </w:r>
    </w:p>
    <w:p>
      <w:pPr>
        <w:spacing w:line="520" w:lineRule="exact"/>
        <w:ind w:firstLine="560" w:firstLineChars="200"/>
        <w:jc w:val="both"/>
        <w:rPr>
          <w:rFonts w:hint="eastAsia" w:ascii="仿宋" w:hAnsi="仿宋" w:eastAsia="仿宋" w:cs="宋体"/>
          <w:color w:val="auto"/>
          <w:sz w:val="28"/>
          <w:szCs w:val="28"/>
          <w:lang w:bidi="ar"/>
        </w:rPr>
      </w:pPr>
      <w:r>
        <w:rPr>
          <w:rFonts w:hint="eastAsia" w:ascii="仿宋" w:hAnsi="仿宋" w:eastAsia="仿宋" w:cs="宋体"/>
          <w:color w:val="auto"/>
          <w:sz w:val="28"/>
          <w:szCs w:val="28"/>
          <w:lang w:bidi="ar"/>
        </w:rPr>
        <w:t>职工年诊疗人次=年诊疗人次数/平均职工人数。反应和考核项目开展后医院提供的诊疗容量是否提升。</w:t>
      </w:r>
    </w:p>
    <w:p>
      <w:pPr>
        <w:spacing w:line="520" w:lineRule="exact"/>
        <w:ind w:firstLine="560" w:firstLineChars="200"/>
        <w:jc w:val="both"/>
        <w:rPr>
          <w:rFonts w:hint="eastAsia" w:ascii="仿宋" w:hAnsi="仿宋" w:eastAsia="仿宋" w:cs="宋体"/>
          <w:color w:val="auto"/>
          <w:sz w:val="28"/>
          <w:szCs w:val="28"/>
          <w:lang w:bidi="ar"/>
        </w:rPr>
      </w:pPr>
      <w:r>
        <w:rPr>
          <w:rFonts w:hint="eastAsia" w:ascii="仿宋" w:hAnsi="仿宋" w:eastAsia="仿宋" w:cs="宋体"/>
          <w:color w:val="auto"/>
          <w:sz w:val="28"/>
          <w:szCs w:val="28"/>
          <w:lang w:bidi="ar"/>
        </w:rPr>
        <w:t>通过核实区卫生健康局提供的相关佐证材料，目前已开始运营的医疗机构医师年诊疗人次1655人次，超出目标值设定的1000人次。</w:t>
      </w:r>
    </w:p>
    <w:p>
      <w:pPr>
        <w:spacing w:line="520" w:lineRule="exact"/>
        <w:ind w:firstLine="560" w:firstLineChars="200"/>
        <w:jc w:val="both"/>
        <w:textAlignment w:val="center"/>
        <w:rPr>
          <w:rFonts w:hint="eastAsia" w:ascii="仿宋" w:hAnsi="仿宋" w:eastAsia="仿宋"/>
          <w:color w:val="auto"/>
          <w:kern w:val="2"/>
          <w:sz w:val="28"/>
          <w:szCs w:val="28"/>
        </w:rPr>
      </w:pPr>
      <w:r>
        <w:rPr>
          <w:rFonts w:hint="eastAsia" w:ascii="仿宋" w:hAnsi="仿宋" w:eastAsia="仿宋" w:cs="宋体"/>
          <w:sz w:val="28"/>
          <w:szCs w:val="28"/>
          <w:lang w:bidi="ar"/>
        </w:rPr>
        <w:t>根据指标体系评分标准，此项指标绩效评价得分为4分</w:t>
      </w:r>
      <w:r>
        <w:rPr>
          <w:rFonts w:hint="eastAsia" w:ascii="仿宋" w:hAnsi="仿宋" w:eastAsia="仿宋"/>
          <w:color w:val="auto"/>
          <w:kern w:val="2"/>
          <w:sz w:val="28"/>
          <w:szCs w:val="28"/>
        </w:rPr>
        <w:t>。</w:t>
      </w:r>
    </w:p>
    <w:p>
      <w:pPr>
        <w:shd w:val="clear" w:color="auto" w:fill="FFFFFF"/>
        <w:spacing w:line="520" w:lineRule="exact"/>
        <w:ind w:firstLine="482"/>
        <w:jc w:val="both"/>
        <w:rPr>
          <w:rFonts w:hint="eastAsia" w:ascii="仿宋" w:hAnsi="仿宋" w:eastAsia="仿宋" w:cs="宋体"/>
          <w:b/>
          <w:color w:val="auto"/>
          <w:sz w:val="28"/>
          <w:szCs w:val="28"/>
        </w:rPr>
      </w:pPr>
      <w:r>
        <w:rPr>
          <w:rFonts w:hint="eastAsia" w:ascii="仿宋" w:hAnsi="仿宋" w:eastAsia="仿宋" w:cs="宋体"/>
          <w:b/>
          <w:color w:val="auto"/>
          <w:sz w:val="28"/>
          <w:szCs w:val="28"/>
        </w:rPr>
        <w:t>2.产出质量（满分7分，得分</w:t>
      </w:r>
      <w:r>
        <w:rPr>
          <w:rFonts w:hint="eastAsia" w:ascii="仿宋" w:hAnsi="仿宋" w:eastAsia="仿宋" w:cs="宋体"/>
          <w:b/>
          <w:bCs/>
          <w:color w:val="auto"/>
          <w:sz w:val="28"/>
          <w:szCs w:val="28"/>
        </w:rPr>
        <w:t>7</w:t>
      </w:r>
      <w:r>
        <w:rPr>
          <w:rFonts w:hint="eastAsia" w:ascii="仿宋" w:hAnsi="仿宋" w:eastAsia="仿宋" w:cs="宋体"/>
          <w:b/>
          <w:color w:val="auto"/>
          <w:sz w:val="28"/>
          <w:szCs w:val="28"/>
        </w:rPr>
        <w:t>分）</w:t>
      </w:r>
    </w:p>
    <w:p>
      <w:pPr>
        <w:spacing w:line="520" w:lineRule="exact"/>
        <w:ind w:firstLine="562" w:firstLineChars="200"/>
        <w:jc w:val="both"/>
        <w:rPr>
          <w:rFonts w:hint="eastAsia" w:ascii="仿宋" w:hAnsi="仿宋" w:eastAsia="仿宋" w:cs="宋体"/>
          <w:b/>
          <w:bCs/>
          <w:color w:val="auto"/>
          <w:sz w:val="28"/>
          <w:szCs w:val="28"/>
        </w:rPr>
      </w:pPr>
      <w:r>
        <w:rPr>
          <w:rFonts w:hint="eastAsia" w:ascii="仿宋" w:hAnsi="仿宋" w:eastAsia="仿宋" w:cs="宋体"/>
          <w:b/>
          <w:bCs/>
          <w:color w:val="auto"/>
          <w:sz w:val="28"/>
          <w:szCs w:val="28"/>
          <w:lang w:bidi="ar"/>
        </w:rPr>
        <w:t>（1）工程设计变更率</w:t>
      </w:r>
      <w:r>
        <w:rPr>
          <w:rFonts w:hint="eastAsia" w:ascii="仿宋" w:hAnsi="仿宋" w:eastAsia="仿宋" w:cs="宋体"/>
          <w:b/>
          <w:bCs/>
          <w:color w:val="auto"/>
          <w:sz w:val="28"/>
          <w:szCs w:val="28"/>
        </w:rPr>
        <w:t>（得分3分）</w:t>
      </w:r>
    </w:p>
    <w:p>
      <w:pPr>
        <w:spacing w:line="520" w:lineRule="exact"/>
        <w:ind w:firstLine="560" w:firstLineChars="200"/>
        <w:jc w:val="both"/>
        <w:rPr>
          <w:rFonts w:hint="eastAsia" w:ascii="仿宋" w:hAnsi="仿宋" w:eastAsia="仿宋" w:cs="宋体"/>
          <w:color w:val="auto"/>
          <w:sz w:val="28"/>
          <w:szCs w:val="28"/>
          <w:lang w:bidi="ar"/>
        </w:rPr>
      </w:pPr>
      <w:r>
        <w:rPr>
          <w:rFonts w:hint="eastAsia" w:ascii="仿宋" w:hAnsi="仿宋" w:eastAsia="仿宋" w:cs="宋体"/>
          <w:color w:val="auto"/>
          <w:sz w:val="28"/>
          <w:szCs w:val="28"/>
          <w:lang w:bidi="ar"/>
        </w:rPr>
        <w:t>衡量项目施工过程是否发生工程设计变更，用以反映和考核代建单位对工程设计变更的管理情况。</w:t>
      </w:r>
    </w:p>
    <w:p>
      <w:pPr>
        <w:spacing w:line="520" w:lineRule="exact"/>
        <w:ind w:firstLine="560" w:firstLineChars="200"/>
        <w:jc w:val="both"/>
        <w:rPr>
          <w:rFonts w:hint="eastAsia" w:ascii="仿宋" w:hAnsi="仿宋" w:eastAsia="仿宋" w:cs="宋体"/>
          <w:color w:val="auto"/>
          <w:sz w:val="28"/>
          <w:szCs w:val="28"/>
          <w:lang w:bidi="ar"/>
        </w:rPr>
      </w:pPr>
      <w:r>
        <w:rPr>
          <w:rFonts w:hint="eastAsia" w:ascii="仿宋" w:hAnsi="仿宋" w:eastAsia="仿宋" w:cs="宋体"/>
          <w:color w:val="auto"/>
          <w:sz w:val="28"/>
          <w:szCs w:val="28"/>
          <w:lang w:bidi="ar"/>
        </w:rPr>
        <w:t>通过核实区卫生健康局提供的相关佐证材料，项目施工过程并未发生工程设计变更。</w:t>
      </w:r>
    </w:p>
    <w:p>
      <w:pPr>
        <w:spacing w:line="520" w:lineRule="exact"/>
        <w:ind w:firstLine="560" w:firstLineChars="200"/>
        <w:jc w:val="both"/>
        <w:rPr>
          <w:rFonts w:hint="eastAsia" w:ascii="仿宋" w:hAnsi="仿宋" w:eastAsia="仿宋" w:cs="宋体"/>
          <w:color w:val="auto"/>
          <w:sz w:val="28"/>
          <w:szCs w:val="28"/>
          <w:lang w:bidi="ar"/>
        </w:rPr>
      </w:pPr>
      <w:r>
        <w:rPr>
          <w:rFonts w:hint="eastAsia" w:ascii="仿宋" w:hAnsi="仿宋" w:eastAsia="仿宋" w:cs="宋体"/>
          <w:color w:val="auto"/>
          <w:sz w:val="28"/>
          <w:szCs w:val="28"/>
          <w:lang w:bidi="ar"/>
        </w:rPr>
        <w:t>根据指标体系评分标准，此项指标绩效评价得分为3分。</w:t>
      </w:r>
    </w:p>
    <w:p>
      <w:pPr>
        <w:spacing w:line="520" w:lineRule="exact"/>
        <w:ind w:firstLine="562" w:firstLineChars="200"/>
        <w:jc w:val="both"/>
        <w:rPr>
          <w:rFonts w:hint="eastAsia" w:ascii="仿宋" w:hAnsi="仿宋" w:eastAsia="仿宋" w:cs="宋体"/>
          <w:b/>
          <w:bCs/>
          <w:color w:val="auto"/>
          <w:sz w:val="28"/>
          <w:szCs w:val="28"/>
        </w:rPr>
      </w:pPr>
      <w:r>
        <w:rPr>
          <w:rFonts w:hint="eastAsia" w:ascii="仿宋" w:hAnsi="仿宋" w:eastAsia="仿宋" w:cs="宋体"/>
          <w:b/>
          <w:bCs/>
          <w:color w:val="auto"/>
          <w:sz w:val="28"/>
          <w:szCs w:val="28"/>
          <w:lang w:bidi="ar"/>
        </w:rPr>
        <w:t>（2）项目竣工验收合格率</w:t>
      </w:r>
      <w:r>
        <w:rPr>
          <w:rFonts w:hint="eastAsia" w:ascii="仿宋" w:hAnsi="仿宋" w:eastAsia="仿宋" w:cs="宋体"/>
          <w:b/>
          <w:bCs/>
          <w:color w:val="auto"/>
          <w:sz w:val="28"/>
          <w:szCs w:val="28"/>
        </w:rPr>
        <w:t>（得分4分）</w:t>
      </w:r>
    </w:p>
    <w:p>
      <w:pPr>
        <w:spacing w:line="520" w:lineRule="exact"/>
        <w:ind w:firstLine="560" w:firstLineChars="200"/>
        <w:jc w:val="both"/>
        <w:rPr>
          <w:rFonts w:hint="eastAsia" w:ascii="仿宋" w:hAnsi="仿宋" w:eastAsia="仿宋" w:cs="宋体"/>
          <w:color w:val="auto"/>
          <w:sz w:val="28"/>
          <w:szCs w:val="28"/>
          <w:lang w:bidi="ar"/>
        </w:rPr>
      </w:pPr>
      <w:r>
        <w:rPr>
          <w:rFonts w:hint="eastAsia" w:ascii="仿宋" w:hAnsi="仿宋" w:eastAsia="仿宋" w:cs="宋体"/>
          <w:color w:val="auto"/>
          <w:sz w:val="28"/>
          <w:szCs w:val="28"/>
          <w:lang w:bidi="ar"/>
        </w:rPr>
        <w:t>竣工验收合格率=验收合格工程数/参与验收工程数，用以反映和考核项目建设质量达标情况。</w:t>
      </w:r>
    </w:p>
    <w:p>
      <w:pPr>
        <w:spacing w:line="520" w:lineRule="exact"/>
        <w:ind w:firstLine="560" w:firstLineChars="200"/>
        <w:jc w:val="both"/>
        <w:rPr>
          <w:rFonts w:hint="eastAsia" w:ascii="仿宋" w:hAnsi="仿宋" w:eastAsia="仿宋" w:cs="宋体"/>
          <w:color w:val="auto"/>
          <w:sz w:val="28"/>
          <w:szCs w:val="28"/>
          <w:lang w:bidi="ar"/>
        </w:rPr>
      </w:pPr>
      <w:r>
        <w:rPr>
          <w:rFonts w:hint="eastAsia" w:ascii="仿宋" w:hAnsi="仿宋" w:eastAsia="仿宋" w:cs="宋体"/>
          <w:color w:val="auto"/>
          <w:sz w:val="28"/>
          <w:szCs w:val="28"/>
          <w:lang w:bidi="ar"/>
        </w:rPr>
        <w:t>通过核实区卫生健康局提供的相关佐证材料，截至目前已经完工的项目均已验收合格，竣工验收合格率为100%。</w:t>
      </w:r>
    </w:p>
    <w:p>
      <w:pPr>
        <w:spacing w:line="520" w:lineRule="exact"/>
        <w:ind w:firstLine="560" w:firstLineChars="200"/>
        <w:jc w:val="both"/>
        <w:rPr>
          <w:rFonts w:hint="eastAsia" w:ascii="仿宋" w:hAnsi="仿宋" w:eastAsia="仿宋" w:cs="宋体"/>
          <w:color w:val="auto"/>
          <w:sz w:val="28"/>
          <w:szCs w:val="28"/>
          <w:lang w:bidi="ar"/>
        </w:rPr>
      </w:pPr>
      <w:r>
        <w:rPr>
          <w:rFonts w:hint="eastAsia" w:ascii="仿宋" w:hAnsi="仿宋" w:eastAsia="仿宋" w:cs="宋体"/>
          <w:color w:val="auto"/>
          <w:sz w:val="28"/>
          <w:szCs w:val="28"/>
          <w:lang w:bidi="ar"/>
        </w:rPr>
        <w:t>根据指标体系评分标准，此项指标绩效评价得分为4分。</w:t>
      </w:r>
    </w:p>
    <w:p>
      <w:pPr>
        <w:shd w:val="clear" w:color="auto" w:fill="FFFFFF"/>
        <w:spacing w:line="520" w:lineRule="exact"/>
        <w:ind w:firstLine="482"/>
        <w:jc w:val="both"/>
        <w:rPr>
          <w:rFonts w:hint="eastAsia" w:ascii="仿宋" w:hAnsi="仿宋" w:eastAsia="仿宋" w:cs="宋体"/>
          <w:b/>
          <w:color w:val="auto"/>
          <w:sz w:val="28"/>
          <w:szCs w:val="28"/>
        </w:rPr>
      </w:pPr>
      <w:r>
        <w:rPr>
          <w:rFonts w:hint="eastAsia" w:ascii="仿宋" w:hAnsi="仿宋" w:eastAsia="仿宋" w:cs="宋体"/>
          <w:b/>
          <w:color w:val="auto"/>
          <w:sz w:val="28"/>
          <w:szCs w:val="28"/>
        </w:rPr>
        <w:t>3.产出成本（满分4分，得分</w:t>
      </w:r>
      <w:r>
        <w:rPr>
          <w:rFonts w:hint="eastAsia" w:ascii="仿宋" w:hAnsi="仿宋" w:eastAsia="仿宋" w:cs="宋体"/>
          <w:b/>
          <w:bCs/>
          <w:color w:val="auto"/>
          <w:sz w:val="28"/>
          <w:szCs w:val="28"/>
        </w:rPr>
        <w:t>4</w:t>
      </w:r>
      <w:r>
        <w:rPr>
          <w:rFonts w:hint="eastAsia" w:ascii="仿宋" w:hAnsi="仿宋" w:eastAsia="仿宋" w:cs="宋体"/>
          <w:b/>
          <w:color w:val="auto"/>
          <w:sz w:val="28"/>
          <w:szCs w:val="28"/>
        </w:rPr>
        <w:t>分）</w:t>
      </w:r>
    </w:p>
    <w:p>
      <w:pPr>
        <w:shd w:val="clear" w:color="auto" w:fill="FFFFFF"/>
        <w:spacing w:line="520" w:lineRule="exact"/>
        <w:ind w:firstLine="482"/>
        <w:jc w:val="both"/>
        <w:rPr>
          <w:rFonts w:hint="eastAsia" w:ascii="仿宋" w:hAnsi="仿宋" w:eastAsia="仿宋" w:cs="宋体"/>
          <w:b/>
          <w:color w:val="auto"/>
          <w:sz w:val="28"/>
          <w:szCs w:val="28"/>
        </w:rPr>
      </w:pPr>
      <w:r>
        <w:rPr>
          <w:rFonts w:ascii="仿宋" w:hAnsi="仿宋" w:eastAsia="仿宋" w:cs="宋体"/>
          <w:color w:val="auto"/>
          <w:sz w:val="28"/>
          <w:szCs w:val="28"/>
          <w:lang w:bidi="ar"/>
        </w:rPr>
        <w:t>成本控制率可以衡量项目实际成本相对于预算成本或计划成本的偏离程度，从而评估项目的成本管理能力</w:t>
      </w:r>
      <w:r>
        <w:rPr>
          <w:rFonts w:hint="eastAsia" w:ascii="仿宋" w:hAnsi="仿宋" w:eastAsia="仿宋" w:cs="宋体"/>
          <w:color w:val="auto"/>
          <w:sz w:val="28"/>
          <w:szCs w:val="28"/>
          <w:lang w:bidi="ar"/>
        </w:rPr>
        <w:t>。</w:t>
      </w:r>
    </w:p>
    <w:p>
      <w:pPr>
        <w:spacing w:line="520" w:lineRule="exact"/>
        <w:ind w:firstLine="560" w:firstLineChars="200"/>
        <w:jc w:val="both"/>
        <w:rPr>
          <w:rFonts w:hint="eastAsia" w:ascii="仿宋" w:hAnsi="仿宋" w:eastAsia="仿宋" w:cs="宋体"/>
          <w:color w:val="auto"/>
          <w:sz w:val="28"/>
          <w:szCs w:val="28"/>
          <w:lang w:bidi="ar"/>
        </w:rPr>
      </w:pPr>
      <w:r>
        <w:rPr>
          <w:rFonts w:hint="eastAsia" w:ascii="仿宋" w:hAnsi="仿宋" w:eastAsia="仿宋" w:cs="宋体"/>
          <w:color w:val="auto"/>
          <w:sz w:val="28"/>
          <w:szCs w:val="28"/>
          <w:lang w:bidi="ar"/>
        </w:rPr>
        <w:t>成本控制率=（实际成本-计划成本）/计划成本×100%</w:t>
      </w:r>
    </w:p>
    <w:p>
      <w:pPr>
        <w:spacing w:line="520" w:lineRule="exact"/>
        <w:ind w:firstLine="560" w:firstLineChars="200"/>
        <w:jc w:val="both"/>
        <w:rPr>
          <w:rFonts w:hint="eastAsia" w:ascii="仿宋" w:hAnsi="仿宋" w:eastAsia="仿宋" w:cs="宋体"/>
          <w:color w:val="auto"/>
          <w:sz w:val="28"/>
          <w:szCs w:val="28"/>
          <w:lang w:bidi="ar"/>
        </w:rPr>
      </w:pPr>
      <w:r>
        <w:rPr>
          <w:rFonts w:ascii="仿宋" w:hAnsi="仿宋" w:eastAsia="仿宋" w:cs="宋体"/>
          <w:color w:val="auto"/>
          <w:sz w:val="28"/>
          <w:szCs w:val="28"/>
          <w:lang w:bidi="ar"/>
        </w:rPr>
        <w:t>若结果为</w:t>
      </w:r>
      <w:r>
        <w:rPr>
          <w:rFonts w:hint="eastAsia" w:ascii="仿宋" w:hAnsi="仿宋" w:eastAsia="仿宋" w:cs="宋体"/>
          <w:color w:val="auto"/>
          <w:sz w:val="28"/>
          <w:szCs w:val="28"/>
          <w:lang w:bidi="ar"/>
        </w:rPr>
        <w:t>负</w:t>
      </w:r>
      <w:r>
        <w:rPr>
          <w:rFonts w:ascii="仿宋" w:hAnsi="仿宋" w:eastAsia="仿宋" w:cs="宋体"/>
          <w:color w:val="auto"/>
          <w:sz w:val="28"/>
          <w:szCs w:val="28"/>
          <w:lang w:bidi="ar"/>
        </w:rPr>
        <w:t>，表明成本控制较好，实际成本低于</w:t>
      </w:r>
      <w:r>
        <w:rPr>
          <w:rFonts w:hint="eastAsia" w:ascii="仿宋" w:hAnsi="仿宋" w:eastAsia="仿宋" w:cs="宋体"/>
          <w:color w:val="auto"/>
          <w:sz w:val="28"/>
          <w:szCs w:val="28"/>
          <w:lang w:bidi="ar"/>
        </w:rPr>
        <w:t>计划</w:t>
      </w:r>
      <w:r>
        <w:rPr>
          <w:rFonts w:ascii="仿宋" w:hAnsi="仿宋" w:eastAsia="仿宋" w:cs="宋体"/>
          <w:color w:val="auto"/>
          <w:sz w:val="28"/>
          <w:szCs w:val="28"/>
          <w:lang w:bidi="ar"/>
        </w:rPr>
        <w:t>成本；若为</w:t>
      </w:r>
      <w:r>
        <w:rPr>
          <w:rFonts w:hint="eastAsia" w:ascii="仿宋" w:hAnsi="仿宋" w:eastAsia="仿宋" w:cs="宋体"/>
          <w:color w:val="auto"/>
          <w:sz w:val="28"/>
          <w:szCs w:val="28"/>
          <w:lang w:bidi="ar"/>
        </w:rPr>
        <w:t>正</w:t>
      </w:r>
      <w:r>
        <w:rPr>
          <w:rFonts w:ascii="仿宋" w:hAnsi="仿宋" w:eastAsia="仿宋" w:cs="宋体"/>
          <w:color w:val="auto"/>
          <w:sz w:val="28"/>
          <w:szCs w:val="28"/>
          <w:lang w:bidi="ar"/>
        </w:rPr>
        <w:t>，则表明成本控制不佳，实际成本高于</w:t>
      </w:r>
      <w:r>
        <w:rPr>
          <w:rFonts w:hint="eastAsia" w:ascii="仿宋" w:hAnsi="仿宋" w:eastAsia="仿宋" w:cs="宋体"/>
          <w:color w:val="auto"/>
          <w:sz w:val="28"/>
          <w:szCs w:val="28"/>
          <w:lang w:bidi="ar"/>
        </w:rPr>
        <w:t>计划</w:t>
      </w:r>
      <w:r>
        <w:rPr>
          <w:rFonts w:ascii="仿宋" w:hAnsi="仿宋" w:eastAsia="仿宋" w:cs="宋体"/>
          <w:color w:val="auto"/>
          <w:sz w:val="28"/>
          <w:szCs w:val="28"/>
          <w:lang w:bidi="ar"/>
        </w:rPr>
        <w:t>成本</w:t>
      </w:r>
      <w:r>
        <w:rPr>
          <w:rFonts w:hint="eastAsia" w:ascii="仿宋" w:hAnsi="仿宋" w:eastAsia="仿宋" w:cs="宋体"/>
          <w:color w:val="auto"/>
          <w:sz w:val="28"/>
          <w:szCs w:val="28"/>
          <w:lang w:bidi="ar"/>
        </w:rPr>
        <w:t>。针对目前债券资金使用情况，项目的实际成本等于计划成本，并未超支。</w:t>
      </w:r>
    </w:p>
    <w:p>
      <w:pPr>
        <w:spacing w:line="520" w:lineRule="exact"/>
        <w:ind w:firstLine="560" w:firstLineChars="200"/>
        <w:jc w:val="both"/>
        <w:rPr>
          <w:rFonts w:hint="eastAsia" w:ascii="仿宋" w:hAnsi="仿宋" w:eastAsia="仿宋" w:cs="宋体"/>
          <w:color w:val="auto"/>
          <w:sz w:val="28"/>
          <w:szCs w:val="28"/>
          <w:lang w:bidi="ar"/>
        </w:rPr>
      </w:pPr>
      <w:r>
        <w:rPr>
          <w:rFonts w:hint="eastAsia" w:ascii="仿宋" w:hAnsi="仿宋" w:eastAsia="仿宋" w:cs="宋体"/>
          <w:color w:val="auto"/>
          <w:sz w:val="28"/>
          <w:szCs w:val="28"/>
          <w:lang w:bidi="ar"/>
        </w:rPr>
        <w:t>根据指标体系评分标准，此项指标绩效评价得分为4分。</w:t>
      </w:r>
    </w:p>
    <w:p>
      <w:pPr>
        <w:shd w:val="clear" w:color="auto" w:fill="FFFFFF"/>
        <w:spacing w:line="520" w:lineRule="exact"/>
        <w:ind w:firstLine="482"/>
        <w:jc w:val="both"/>
        <w:rPr>
          <w:rFonts w:hint="eastAsia" w:ascii="仿宋" w:hAnsi="仿宋" w:eastAsia="仿宋" w:cs="宋体"/>
          <w:b/>
          <w:color w:val="auto"/>
          <w:sz w:val="28"/>
          <w:szCs w:val="28"/>
        </w:rPr>
      </w:pPr>
      <w:r>
        <w:rPr>
          <w:rFonts w:hint="eastAsia" w:ascii="仿宋" w:hAnsi="仿宋" w:eastAsia="仿宋" w:cs="宋体"/>
          <w:b/>
          <w:color w:val="auto"/>
          <w:sz w:val="28"/>
          <w:szCs w:val="28"/>
        </w:rPr>
        <w:t>4.产出时效（满分4分，得分2分）</w:t>
      </w:r>
    </w:p>
    <w:p>
      <w:pPr>
        <w:pStyle w:val="19"/>
        <w:adjustRightInd w:val="0"/>
        <w:snapToGrid w:val="0"/>
        <w:spacing w:line="520" w:lineRule="exact"/>
        <w:ind w:firstLine="560" w:firstLineChars="200"/>
        <w:rPr>
          <w:rFonts w:hint="eastAsia" w:ascii="仿宋" w:hAnsi="仿宋" w:eastAsia="仿宋" w:cs="宋体"/>
          <w:sz w:val="28"/>
          <w:szCs w:val="28"/>
          <w:lang w:bidi="ar"/>
        </w:rPr>
      </w:pPr>
      <w:r>
        <w:rPr>
          <w:rFonts w:hint="eastAsia" w:ascii="仿宋" w:hAnsi="仿宋" w:eastAsia="仿宋" w:cs="宋体"/>
          <w:bCs/>
          <w:sz w:val="28"/>
          <w:szCs w:val="28"/>
        </w:rPr>
        <w:t>产出时效指标主要评价</w:t>
      </w:r>
      <w:r>
        <w:rPr>
          <w:rFonts w:hint="eastAsia" w:ascii="仿宋" w:hAnsi="仿宋" w:eastAsia="仿宋" w:cs="宋体"/>
          <w:sz w:val="28"/>
          <w:szCs w:val="28"/>
          <w:lang w:bidi="ar"/>
        </w:rPr>
        <w:t>项目完成的及时性情况</w:t>
      </w:r>
      <w:r>
        <w:rPr>
          <w:rFonts w:hint="eastAsia" w:ascii="仿宋" w:hAnsi="仿宋" w:eastAsia="仿宋" w:cs="宋体"/>
          <w:bCs/>
          <w:sz w:val="28"/>
          <w:szCs w:val="28"/>
        </w:rPr>
        <w:t>，采用项目完成及时率</w:t>
      </w:r>
      <w:r>
        <w:rPr>
          <w:rFonts w:hint="eastAsia" w:ascii="仿宋" w:hAnsi="仿宋" w:eastAsia="仿宋" w:cs="宋体"/>
          <w:sz w:val="28"/>
          <w:szCs w:val="28"/>
          <w:lang w:bidi="ar"/>
        </w:rPr>
        <w:t>来衡量产出时效指标，考察项目是否按合同计划开工以及项目是否严格按工期期限内竣工。</w:t>
      </w:r>
    </w:p>
    <w:p>
      <w:pPr>
        <w:spacing w:line="520" w:lineRule="exact"/>
        <w:ind w:firstLine="560" w:firstLineChars="200"/>
        <w:jc w:val="both"/>
        <w:rPr>
          <w:rFonts w:hint="eastAsia" w:ascii="仿宋" w:hAnsi="仿宋" w:eastAsia="仿宋" w:cs="宋体"/>
          <w:sz w:val="28"/>
          <w:szCs w:val="28"/>
          <w:lang w:bidi="ar"/>
        </w:rPr>
      </w:pPr>
      <w:r>
        <w:rPr>
          <w:rFonts w:hint="eastAsia" w:ascii="仿宋" w:hAnsi="仿宋" w:eastAsia="仿宋" w:cs="宋体"/>
          <w:color w:val="auto"/>
          <w:sz w:val="28"/>
          <w:szCs w:val="28"/>
          <w:lang w:bidi="ar"/>
        </w:rPr>
        <w:t>通过核实区卫生健康局提供的相关佐证材料，该债券资金涉及的工程项目部分</w:t>
      </w:r>
      <w:r>
        <w:rPr>
          <w:rFonts w:hint="eastAsia" w:ascii="仿宋" w:hAnsi="仿宋" w:eastAsia="仿宋" w:cs="宋体"/>
          <w:sz w:val="28"/>
          <w:szCs w:val="28"/>
          <w:lang w:bidi="ar"/>
        </w:rPr>
        <w:t>按合同计划开工并在约定工期内完工，三叉街街道社区卫生服务中心项目在施工合同签订近3个月后开工，盖山镇卫生院推迟一月余开工。</w:t>
      </w:r>
    </w:p>
    <w:p>
      <w:pPr>
        <w:spacing w:line="520" w:lineRule="exact"/>
        <w:ind w:firstLine="560" w:firstLineChars="200"/>
        <w:jc w:val="both"/>
        <w:rPr>
          <w:rFonts w:hint="eastAsia" w:ascii="仿宋" w:hAnsi="仿宋" w:eastAsia="仿宋" w:cs="宋体"/>
          <w:sz w:val="28"/>
          <w:szCs w:val="28"/>
          <w:lang w:bidi="ar"/>
        </w:rPr>
      </w:pPr>
      <w:r>
        <w:rPr>
          <w:rFonts w:hint="eastAsia" w:ascii="仿宋" w:hAnsi="仿宋" w:eastAsia="仿宋" w:cs="宋体"/>
          <w:sz w:val="28"/>
          <w:szCs w:val="28"/>
          <w:lang w:bidi="ar"/>
        </w:rPr>
        <w:t>根据指标体系评分标准，此项指标</w:t>
      </w:r>
      <w:r>
        <w:rPr>
          <w:rFonts w:ascii="仿宋" w:hAnsi="仿宋" w:eastAsia="仿宋" w:cs="宋体"/>
          <w:sz w:val="28"/>
          <w:szCs w:val="28"/>
          <w:lang w:bidi="ar"/>
        </w:rPr>
        <w:t>扣2分，</w:t>
      </w:r>
      <w:r>
        <w:rPr>
          <w:rFonts w:hint="eastAsia" w:ascii="仿宋" w:hAnsi="仿宋" w:eastAsia="仿宋" w:cs="宋体"/>
          <w:sz w:val="28"/>
          <w:szCs w:val="28"/>
          <w:lang w:bidi="ar"/>
        </w:rPr>
        <w:t>绩效评价得分为</w:t>
      </w:r>
      <w:r>
        <w:rPr>
          <w:rFonts w:ascii="仿宋" w:hAnsi="仿宋" w:eastAsia="仿宋" w:cs="宋体"/>
          <w:sz w:val="28"/>
          <w:szCs w:val="28"/>
          <w:lang w:bidi="ar"/>
        </w:rPr>
        <w:t>2</w:t>
      </w:r>
      <w:r>
        <w:rPr>
          <w:rFonts w:hint="eastAsia" w:ascii="仿宋" w:hAnsi="仿宋" w:eastAsia="仿宋" w:cs="宋体"/>
          <w:sz w:val="28"/>
          <w:szCs w:val="28"/>
          <w:lang w:bidi="ar"/>
        </w:rPr>
        <w:t>分</w:t>
      </w:r>
      <w:r>
        <w:rPr>
          <w:rFonts w:ascii="仿宋" w:hAnsi="仿宋" w:eastAsia="仿宋" w:cs="宋体"/>
          <w:sz w:val="28"/>
          <w:szCs w:val="28"/>
          <w:lang w:bidi="ar"/>
        </w:rPr>
        <w:t>。</w:t>
      </w:r>
    </w:p>
    <w:p>
      <w:pPr>
        <w:spacing w:line="520" w:lineRule="exact"/>
        <w:ind w:firstLine="560" w:firstLineChars="200"/>
        <w:jc w:val="both"/>
        <w:outlineLvl w:val="1"/>
        <w:rPr>
          <w:rFonts w:hint="eastAsia" w:ascii="楷体" w:hAnsi="楷体" w:eastAsia="楷体" w:cs="楷体"/>
          <w:color w:val="auto"/>
          <w:sz w:val="28"/>
          <w:szCs w:val="28"/>
        </w:rPr>
      </w:pPr>
      <w:bookmarkStart w:id="72" w:name="_Toc108549532"/>
      <w:bookmarkStart w:id="73" w:name="_Toc186450523"/>
      <w:r>
        <w:rPr>
          <w:rFonts w:hint="eastAsia" w:ascii="楷体" w:hAnsi="楷体" w:eastAsia="楷体" w:cs="楷体"/>
          <w:color w:val="auto"/>
          <w:sz w:val="28"/>
          <w:szCs w:val="28"/>
        </w:rPr>
        <w:t>（四）项目效益情况（满分29分，得分26.57分）</w:t>
      </w:r>
      <w:bookmarkEnd w:id="72"/>
      <w:bookmarkEnd w:id="73"/>
    </w:p>
    <w:bookmarkEnd w:id="65"/>
    <w:p>
      <w:pPr>
        <w:pStyle w:val="15"/>
        <w:adjustRightInd w:val="0"/>
        <w:snapToGrid w:val="0"/>
        <w:spacing w:line="520" w:lineRule="exact"/>
        <w:ind w:firstLine="562"/>
        <w:rPr>
          <w:rFonts w:hint="eastAsia" w:ascii="仿宋" w:hAnsi="仿宋" w:eastAsia="仿宋" w:cs="宋体"/>
          <w:b/>
          <w:bCs/>
          <w:szCs w:val="28"/>
        </w:rPr>
      </w:pPr>
      <w:bookmarkStart w:id="74" w:name="_Toc494295258"/>
      <w:bookmarkStart w:id="75" w:name="_Toc108549538"/>
      <w:r>
        <w:rPr>
          <w:rFonts w:hint="eastAsia" w:ascii="仿宋" w:hAnsi="仿宋" w:eastAsia="仿宋" w:cs="宋体"/>
          <w:b/>
          <w:bCs/>
          <w:szCs w:val="28"/>
        </w:rPr>
        <w:t>1．社会效益（</w:t>
      </w:r>
      <w:r>
        <w:rPr>
          <w:rFonts w:hint="eastAsia" w:ascii="仿宋" w:hAnsi="仿宋" w:eastAsia="仿宋" w:cs="宋体"/>
          <w:b/>
          <w:bCs/>
          <w:szCs w:val="28"/>
          <w:lang w:bidi="ar"/>
        </w:rPr>
        <w:t>满分4分，</w:t>
      </w:r>
      <w:r>
        <w:rPr>
          <w:rFonts w:hint="eastAsia" w:ascii="仿宋" w:hAnsi="仿宋" w:eastAsia="仿宋" w:cs="宋体"/>
          <w:b/>
          <w:bCs/>
          <w:szCs w:val="28"/>
        </w:rPr>
        <w:t>得分</w:t>
      </w:r>
      <w:r>
        <w:rPr>
          <w:rFonts w:hint="eastAsia" w:ascii="仿宋" w:hAnsi="仿宋" w:eastAsia="仿宋" w:cs="宋体"/>
          <w:b/>
          <w:szCs w:val="28"/>
        </w:rPr>
        <w:t>3.27分</w:t>
      </w:r>
      <w:r>
        <w:rPr>
          <w:rFonts w:hint="eastAsia" w:ascii="仿宋" w:hAnsi="仿宋" w:eastAsia="仿宋" w:cs="宋体"/>
          <w:b/>
          <w:bCs/>
          <w:szCs w:val="28"/>
        </w:rPr>
        <w:t>）</w:t>
      </w:r>
    </w:p>
    <w:p>
      <w:pPr>
        <w:spacing w:line="520" w:lineRule="exact"/>
        <w:ind w:firstLine="562" w:firstLineChars="200"/>
        <w:jc w:val="both"/>
        <w:rPr>
          <w:rFonts w:hint="eastAsia" w:ascii="仿宋" w:hAnsi="仿宋" w:eastAsia="仿宋" w:cs="宋体"/>
          <w:b/>
          <w:bCs/>
          <w:color w:val="auto"/>
          <w:sz w:val="28"/>
          <w:szCs w:val="28"/>
        </w:rPr>
      </w:pPr>
      <w:r>
        <w:rPr>
          <w:rFonts w:hint="eastAsia" w:ascii="仿宋" w:hAnsi="仿宋" w:eastAsia="仿宋" w:cs="宋体"/>
          <w:b/>
          <w:bCs/>
          <w:color w:val="auto"/>
          <w:sz w:val="28"/>
          <w:szCs w:val="28"/>
          <w:lang w:bidi="ar"/>
        </w:rPr>
        <w:t>（1）看病排队时间减少</w:t>
      </w:r>
      <w:r>
        <w:rPr>
          <w:rFonts w:hint="eastAsia" w:ascii="仿宋" w:hAnsi="仿宋" w:eastAsia="仿宋" w:cs="宋体"/>
          <w:b/>
          <w:bCs/>
          <w:color w:val="auto"/>
          <w:sz w:val="28"/>
          <w:szCs w:val="28"/>
        </w:rPr>
        <w:t>（得分3.27分）</w:t>
      </w:r>
    </w:p>
    <w:p>
      <w:pPr>
        <w:spacing w:line="520" w:lineRule="exact"/>
        <w:ind w:firstLine="560" w:firstLineChars="200"/>
        <w:jc w:val="both"/>
        <w:rPr>
          <w:rFonts w:hint="eastAsia" w:ascii="仿宋" w:hAnsi="仿宋" w:eastAsia="仿宋" w:cs="宋体"/>
          <w:color w:val="auto"/>
          <w:sz w:val="28"/>
          <w:szCs w:val="28"/>
          <w:lang w:bidi="ar"/>
        </w:rPr>
      </w:pPr>
      <w:r>
        <w:rPr>
          <w:rFonts w:hint="eastAsia" w:ascii="仿宋" w:hAnsi="仿宋" w:eastAsia="仿宋" w:cs="宋体"/>
          <w:color w:val="auto"/>
          <w:sz w:val="28"/>
          <w:szCs w:val="28"/>
          <w:lang w:bidi="ar"/>
        </w:rPr>
        <w:t>用以反映和考核项目开展，对居民看病便利程度的影响。根据对医疗机构覆盖范围内居民的问卷调查情况，共收回线上有效问卷121份。问题“社区医院改造后您是否认为看病排队时间减少？”回答“是”的有99份，比例为81.82%。该项指标得分为4分×81.82%=3.27分。</w:t>
      </w:r>
    </w:p>
    <w:p>
      <w:pPr>
        <w:pStyle w:val="15"/>
        <w:adjustRightInd w:val="0"/>
        <w:snapToGrid w:val="0"/>
        <w:spacing w:line="520" w:lineRule="exact"/>
        <w:ind w:firstLine="562"/>
        <w:rPr>
          <w:rFonts w:hint="eastAsia" w:ascii="仿宋" w:hAnsi="仿宋" w:eastAsia="仿宋" w:cs="宋体"/>
          <w:b/>
          <w:bCs/>
          <w:szCs w:val="28"/>
        </w:rPr>
      </w:pPr>
      <w:r>
        <w:rPr>
          <w:rFonts w:hint="eastAsia" w:ascii="仿宋" w:hAnsi="仿宋" w:eastAsia="仿宋" w:cs="宋体"/>
          <w:b/>
          <w:bCs/>
          <w:szCs w:val="28"/>
        </w:rPr>
        <w:t>2.经济效益</w:t>
      </w:r>
      <w:r>
        <w:rPr>
          <w:rFonts w:hint="eastAsia" w:ascii="仿宋" w:hAnsi="仿宋" w:eastAsia="仿宋" w:cs="宋体"/>
          <w:b/>
          <w:szCs w:val="28"/>
        </w:rPr>
        <w:t>（</w:t>
      </w:r>
      <w:r>
        <w:rPr>
          <w:rFonts w:hint="eastAsia" w:ascii="仿宋" w:hAnsi="仿宋" w:eastAsia="仿宋" w:cs="宋体"/>
          <w:b/>
          <w:bCs/>
          <w:szCs w:val="28"/>
          <w:lang w:bidi="ar"/>
        </w:rPr>
        <w:t>满分6分，</w:t>
      </w:r>
      <w:r>
        <w:rPr>
          <w:rFonts w:hint="eastAsia" w:ascii="仿宋" w:hAnsi="仿宋" w:eastAsia="仿宋" w:cs="宋体"/>
          <w:b/>
          <w:bCs/>
          <w:szCs w:val="28"/>
        </w:rPr>
        <w:t>得分</w:t>
      </w:r>
      <w:r>
        <w:rPr>
          <w:rFonts w:hint="eastAsia" w:ascii="仿宋" w:hAnsi="仿宋" w:eastAsia="仿宋" w:cs="宋体"/>
          <w:b/>
          <w:szCs w:val="28"/>
        </w:rPr>
        <w:t>6分）</w:t>
      </w:r>
    </w:p>
    <w:p>
      <w:pPr>
        <w:spacing w:line="520" w:lineRule="exact"/>
        <w:ind w:firstLine="562" w:firstLineChars="200"/>
        <w:jc w:val="both"/>
        <w:textAlignment w:val="center"/>
        <w:rPr>
          <w:rFonts w:hint="eastAsia" w:ascii="仿宋" w:hAnsi="仿宋" w:eastAsia="仿宋" w:cs="宋体"/>
          <w:color w:val="auto"/>
          <w:sz w:val="28"/>
          <w:szCs w:val="28"/>
          <w:lang w:bidi="ar"/>
        </w:rPr>
      </w:pPr>
      <w:r>
        <w:rPr>
          <w:rFonts w:hint="eastAsia" w:ascii="仿宋" w:hAnsi="仿宋" w:eastAsia="仿宋" w:cs="宋体"/>
          <w:b/>
          <w:bCs/>
          <w:color w:val="auto"/>
          <w:sz w:val="28"/>
          <w:szCs w:val="28"/>
        </w:rPr>
        <w:t>（1）医院人均业务收入（得3分）</w:t>
      </w:r>
    </w:p>
    <w:p>
      <w:pPr>
        <w:spacing w:line="520" w:lineRule="exact"/>
        <w:ind w:firstLine="560" w:firstLineChars="200"/>
        <w:jc w:val="both"/>
        <w:textAlignment w:val="center"/>
        <w:rPr>
          <w:rFonts w:hint="eastAsia" w:ascii="仿宋" w:hAnsi="仿宋" w:eastAsia="仿宋"/>
          <w:color w:val="auto"/>
          <w:kern w:val="2"/>
          <w:sz w:val="28"/>
          <w:szCs w:val="28"/>
        </w:rPr>
      </w:pPr>
      <w:r>
        <w:rPr>
          <w:rFonts w:hint="eastAsia" w:ascii="仿宋" w:hAnsi="仿宋" w:eastAsia="仿宋"/>
          <w:color w:val="auto"/>
          <w:kern w:val="2"/>
          <w:sz w:val="28"/>
          <w:szCs w:val="28"/>
        </w:rPr>
        <w:t>衡量改造项目完成后，医院人均业务收入情况，考核改造项目对经济收入的提升情况。</w:t>
      </w:r>
    </w:p>
    <w:p>
      <w:pPr>
        <w:spacing w:line="520" w:lineRule="exact"/>
        <w:ind w:firstLine="560" w:firstLineChars="200"/>
        <w:jc w:val="both"/>
        <w:rPr>
          <w:rFonts w:hint="eastAsia" w:ascii="仿宋" w:hAnsi="仿宋" w:eastAsia="仿宋" w:cs="宋体"/>
          <w:color w:val="auto"/>
          <w:sz w:val="28"/>
          <w:szCs w:val="28"/>
          <w:lang w:bidi="ar"/>
        </w:rPr>
      </w:pPr>
      <w:r>
        <w:rPr>
          <w:rFonts w:ascii="仿宋" w:hAnsi="仿宋" w:eastAsia="仿宋" w:cs="宋体"/>
          <w:color w:val="auto"/>
          <w:sz w:val="28"/>
          <w:szCs w:val="28"/>
          <w:lang w:bidi="ar"/>
        </w:rPr>
        <w:t>通过核实区卫生健康局提供的</w:t>
      </w:r>
      <w:r>
        <w:rPr>
          <w:rFonts w:hint="eastAsia" w:ascii="仿宋" w:hAnsi="仿宋" w:eastAsia="仿宋" w:cs="宋体"/>
          <w:color w:val="auto"/>
          <w:sz w:val="28"/>
          <w:szCs w:val="28"/>
          <w:lang w:bidi="ar"/>
        </w:rPr>
        <w:t>佐证资料以及访谈调研，年末已完成改造的医院人均业务收入为24万元，目标值为10万元，以达成目标值。</w:t>
      </w:r>
    </w:p>
    <w:p>
      <w:pPr>
        <w:spacing w:line="520" w:lineRule="exact"/>
        <w:ind w:firstLine="560" w:firstLineChars="200"/>
        <w:jc w:val="both"/>
        <w:rPr>
          <w:rFonts w:hint="eastAsia" w:ascii="仿宋" w:hAnsi="仿宋" w:eastAsia="仿宋" w:cs="宋体"/>
          <w:color w:val="auto"/>
          <w:sz w:val="28"/>
          <w:szCs w:val="28"/>
          <w:lang w:bidi="ar"/>
        </w:rPr>
      </w:pPr>
      <w:r>
        <w:rPr>
          <w:rFonts w:hint="eastAsia" w:ascii="仿宋" w:hAnsi="仿宋" w:eastAsia="仿宋" w:cs="宋体"/>
          <w:color w:val="auto"/>
          <w:sz w:val="28"/>
          <w:szCs w:val="28"/>
          <w:lang w:bidi="ar"/>
        </w:rPr>
        <w:t>根据指标体系评分标准，此项指标绩效评价得分为3分。</w:t>
      </w:r>
    </w:p>
    <w:p>
      <w:pPr>
        <w:spacing w:line="520" w:lineRule="exact"/>
        <w:ind w:firstLine="562" w:firstLineChars="200"/>
        <w:jc w:val="both"/>
        <w:textAlignment w:val="center"/>
        <w:rPr>
          <w:rFonts w:hint="eastAsia" w:ascii="仿宋" w:hAnsi="仿宋" w:eastAsia="仿宋" w:cs="宋体"/>
          <w:b/>
          <w:bCs/>
          <w:color w:val="auto"/>
          <w:sz w:val="28"/>
          <w:szCs w:val="28"/>
        </w:rPr>
      </w:pPr>
      <w:r>
        <w:rPr>
          <w:rFonts w:hint="eastAsia" w:ascii="仿宋" w:hAnsi="仿宋" w:eastAsia="仿宋" w:cs="宋体"/>
          <w:b/>
          <w:bCs/>
          <w:color w:val="auto"/>
          <w:sz w:val="28"/>
          <w:szCs w:val="28"/>
        </w:rPr>
        <w:t>（2）</w:t>
      </w:r>
      <w:r>
        <w:rPr>
          <w:rFonts w:ascii="仿宋" w:hAnsi="仿宋" w:eastAsia="仿宋" w:cs="宋体"/>
          <w:b/>
          <w:bCs/>
          <w:color w:val="auto"/>
          <w:sz w:val="28"/>
          <w:szCs w:val="28"/>
        </w:rPr>
        <w:t>投资回报率</w:t>
      </w:r>
      <w:r>
        <w:rPr>
          <w:rFonts w:hint="eastAsia" w:ascii="仿宋" w:hAnsi="仿宋" w:eastAsia="仿宋" w:cs="宋体"/>
          <w:b/>
          <w:bCs/>
          <w:color w:val="auto"/>
          <w:sz w:val="28"/>
          <w:szCs w:val="28"/>
        </w:rPr>
        <w:t>（得3分）</w:t>
      </w:r>
    </w:p>
    <w:p>
      <w:pPr>
        <w:spacing w:line="520" w:lineRule="exact"/>
        <w:ind w:firstLine="560" w:firstLineChars="200"/>
        <w:jc w:val="both"/>
        <w:rPr>
          <w:rFonts w:hint="eastAsia" w:ascii="仿宋" w:hAnsi="仿宋" w:eastAsia="仿宋" w:cs="宋体"/>
          <w:color w:val="auto"/>
          <w:sz w:val="28"/>
          <w:szCs w:val="28"/>
          <w:lang w:bidi="ar"/>
        </w:rPr>
      </w:pPr>
      <w:r>
        <w:rPr>
          <w:rFonts w:ascii="仿宋" w:hAnsi="仿宋" w:eastAsia="仿宋" w:cs="宋体"/>
          <w:color w:val="auto"/>
          <w:sz w:val="28"/>
          <w:szCs w:val="28"/>
          <w:lang w:bidi="ar"/>
        </w:rPr>
        <w:t>投资回报率是指通过投资</w:t>
      </w:r>
      <w:r>
        <w:rPr>
          <w:rFonts w:hint="eastAsia" w:ascii="仿宋" w:hAnsi="仿宋" w:eastAsia="仿宋" w:cs="宋体"/>
          <w:color w:val="auto"/>
          <w:sz w:val="28"/>
          <w:szCs w:val="28"/>
          <w:lang w:bidi="ar"/>
        </w:rPr>
        <w:t>产生的回报占投资成本的比率。在此考核债券资金项目报酬率对债券利息的覆盖情况。</w:t>
      </w:r>
    </w:p>
    <w:p>
      <w:pPr>
        <w:spacing w:line="520" w:lineRule="exact"/>
        <w:ind w:firstLine="560" w:firstLineChars="200"/>
        <w:jc w:val="both"/>
        <w:rPr>
          <w:rFonts w:hint="eastAsia" w:ascii="仿宋" w:hAnsi="仿宋" w:eastAsia="仿宋" w:cs="宋体"/>
          <w:color w:val="auto"/>
          <w:sz w:val="28"/>
          <w:szCs w:val="28"/>
          <w:lang w:bidi="ar"/>
        </w:rPr>
      </w:pPr>
      <w:r>
        <w:rPr>
          <w:rFonts w:hint="eastAsia" w:ascii="仿宋" w:hAnsi="仿宋" w:eastAsia="仿宋" w:cs="宋体"/>
          <w:color w:val="auto"/>
          <w:sz w:val="28"/>
          <w:szCs w:val="28"/>
          <w:lang w:bidi="ar"/>
        </w:rPr>
        <w:t>通过核实区卫生健康局提供的相关佐证材料，项目报酬率预测为4%，债券利息率为3.18%，因此可以完全覆盖</w:t>
      </w:r>
      <w:r>
        <w:rPr>
          <w:rFonts w:ascii="仿宋" w:hAnsi="仿宋" w:eastAsia="仿宋" w:cs="宋体"/>
          <w:color w:val="auto"/>
          <w:sz w:val="28"/>
          <w:szCs w:val="28"/>
          <w:lang w:bidi="ar"/>
        </w:rPr>
        <w:t>。</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根据指标体系评分标准，此项指标绩效评价得分</w:t>
      </w:r>
      <w:r>
        <w:rPr>
          <w:rFonts w:hint="eastAsia" w:ascii="仿宋" w:hAnsi="仿宋" w:eastAsia="仿宋" w:cs="宋体"/>
          <w:color w:val="auto"/>
          <w:sz w:val="28"/>
          <w:szCs w:val="28"/>
          <w:lang w:bidi="ar"/>
        </w:rPr>
        <w:t>为3分</w:t>
      </w:r>
      <w:r>
        <w:rPr>
          <w:rFonts w:hint="eastAsia" w:ascii="仿宋" w:hAnsi="仿宋" w:eastAsia="仿宋" w:cs="宋体"/>
          <w:color w:val="auto"/>
          <w:sz w:val="28"/>
          <w:szCs w:val="28"/>
        </w:rPr>
        <w:t>。</w:t>
      </w:r>
    </w:p>
    <w:p>
      <w:pPr>
        <w:pStyle w:val="15"/>
        <w:adjustRightInd w:val="0"/>
        <w:snapToGrid w:val="0"/>
        <w:spacing w:line="520" w:lineRule="exact"/>
        <w:ind w:firstLine="562"/>
        <w:rPr>
          <w:rFonts w:hint="eastAsia" w:ascii="仿宋" w:hAnsi="仿宋" w:eastAsia="仿宋" w:cs="宋体"/>
          <w:b/>
          <w:szCs w:val="28"/>
        </w:rPr>
      </w:pPr>
      <w:r>
        <w:rPr>
          <w:rFonts w:hint="eastAsia" w:ascii="仿宋" w:hAnsi="仿宋" w:eastAsia="仿宋" w:cs="宋体"/>
          <w:b/>
          <w:bCs/>
          <w:szCs w:val="28"/>
        </w:rPr>
        <w:t>3．生态效益</w:t>
      </w:r>
      <w:r>
        <w:rPr>
          <w:rFonts w:hint="eastAsia" w:ascii="仿宋" w:hAnsi="仿宋" w:eastAsia="仿宋" w:cs="宋体"/>
          <w:b/>
          <w:szCs w:val="28"/>
        </w:rPr>
        <w:t>（</w:t>
      </w:r>
      <w:r>
        <w:rPr>
          <w:rFonts w:hint="eastAsia" w:ascii="仿宋" w:hAnsi="仿宋" w:eastAsia="仿宋" w:cs="宋体"/>
          <w:b/>
          <w:bCs/>
          <w:szCs w:val="28"/>
          <w:lang w:bidi="ar"/>
        </w:rPr>
        <w:t>满分3分，</w:t>
      </w:r>
      <w:r>
        <w:rPr>
          <w:rFonts w:hint="eastAsia" w:ascii="仿宋" w:hAnsi="仿宋" w:eastAsia="仿宋" w:cs="宋体"/>
          <w:b/>
          <w:bCs/>
          <w:szCs w:val="28"/>
        </w:rPr>
        <w:t>得分3</w:t>
      </w:r>
      <w:r>
        <w:rPr>
          <w:rFonts w:hint="eastAsia" w:ascii="仿宋" w:hAnsi="仿宋" w:eastAsia="仿宋" w:cs="宋体"/>
          <w:b/>
          <w:szCs w:val="28"/>
        </w:rPr>
        <w:t>分）</w:t>
      </w:r>
    </w:p>
    <w:p>
      <w:pPr>
        <w:pStyle w:val="15"/>
        <w:adjustRightInd w:val="0"/>
        <w:snapToGrid w:val="0"/>
        <w:spacing w:line="520" w:lineRule="exact"/>
        <w:ind w:firstLine="490" w:firstLineChars="175"/>
        <w:rPr>
          <w:rFonts w:hint="eastAsia" w:ascii="仿宋" w:hAnsi="仿宋" w:eastAsia="仿宋" w:cs="宋体"/>
          <w:bCs/>
          <w:szCs w:val="28"/>
        </w:rPr>
      </w:pPr>
      <w:r>
        <w:rPr>
          <w:rFonts w:hint="eastAsia" w:ascii="仿宋" w:hAnsi="仿宋" w:eastAsia="仿宋" w:cs="宋体"/>
          <w:bCs/>
          <w:szCs w:val="28"/>
        </w:rPr>
        <w:t>根据进行医疗废水处理项目的金山街道卫生中心环境评价情况评分，</w:t>
      </w:r>
      <w:r>
        <w:rPr>
          <w:rFonts w:hint="eastAsia" w:ascii="仿宋" w:hAnsi="仿宋" w:eastAsia="仿宋" w:cs="宋体"/>
          <w:bCs/>
          <w:szCs w:val="28"/>
          <w:lang w:eastAsia="zh-CN"/>
        </w:rPr>
        <w:t>按照</w:t>
      </w:r>
      <w:r>
        <w:rPr>
          <w:rFonts w:hint="eastAsia" w:ascii="仿宋" w:hAnsi="仿宋" w:eastAsia="仿宋" w:cs="宋体"/>
          <w:bCs/>
          <w:szCs w:val="28"/>
        </w:rPr>
        <w:t>环评报告，项目</w:t>
      </w:r>
      <w:r>
        <w:rPr>
          <w:rFonts w:ascii="仿宋" w:hAnsi="仿宋" w:eastAsia="仿宋" w:cs="宋体"/>
          <w:bCs/>
          <w:szCs w:val="28"/>
        </w:rPr>
        <w:t>委托安正计量检测有限公司对环保设施调试运行效果、污染物排放情况进行监测，竣工环保验收监测采样时间为2023年</w:t>
      </w:r>
      <w:r>
        <w:rPr>
          <w:rFonts w:hint="eastAsia" w:ascii="仿宋" w:hAnsi="仿宋" w:eastAsia="仿宋" w:cs="宋体"/>
          <w:bCs/>
          <w:szCs w:val="28"/>
        </w:rPr>
        <w:t>12至</w:t>
      </w:r>
      <w:r>
        <w:rPr>
          <w:rFonts w:ascii="仿宋" w:hAnsi="仿宋" w:eastAsia="仿宋" w:cs="宋体"/>
          <w:bCs/>
          <w:szCs w:val="28"/>
        </w:rPr>
        <w:t>13日</w:t>
      </w:r>
      <w:r>
        <w:rPr>
          <w:rFonts w:hint="eastAsia" w:ascii="仿宋" w:hAnsi="仿宋" w:eastAsia="仿宋" w:cs="宋体"/>
          <w:bCs/>
          <w:szCs w:val="28"/>
        </w:rPr>
        <w:t>，监测结果显示，</w:t>
      </w:r>
      <w:r>
        <w:rPr>
          <w:rFonts w:ascii="仿宋" w:hAnsi="仿宋" w:eastAsia="仿宋" w:cs="宋体"/>
          <w:bCs/>
          <w:szCs w:val="28"/>
        </w:rPr>
        <w:t>各污染因子均符合《医疗机构水污染物排放标准》</w:t>
      </w:r>
      <w:r>
        <w:rPr>
          <w:rFonts w:hint="eastAsia" w:ascii="仿宋" w:hAnsi="仿宋" w:eastAsia="仿宋" w:cs="宋体"/>
          <w:bCs/>
          <w:szCs w:val="28"/>
        </w:rPr>
        <w:t>。</w:t>
      </w:r>
    </w:p>
    <w:p>
      <w:pPr>
        <w:pStyle w:val="15"/>
        <w:adjustRightInd w:val="0"/>
        <w:snapToGrid w:val="0"/>
        <w:spacing w:line="520" w:lineRule="exact"/>
        <w:ind w:firstLine="490" w:firstLineChars="175"/>
        <w:rPr>
          <w:rFonts w:hint="eastAsia" w:ascii="仿宋" w:hAnsi="仿宋" w:eastAsia="仿宋" w:cs="宋体"/>
          <w:szCs w:val="28"/>
        </w:rPr>
      </w:pPr>
      <w:r>
        <w:rPr>
          <w:rFonts w:hint="eastAsia" w:ascii="仿宋" w:hAnsi="仿宋" w:eastAsia="仿宋" w:cs="宋体"/>
          <w:bCs/>
          <w:szCs w:val="28"/>
        </w:rPr>
        <w:t>根据指标体系评分标准，此项指标绩效评价得分为3分</w:t>
      </w:r>
      <w:r>
        <w:rPr>
          <w:rFonts w:hint="eastAsia" w:ascii="仿宋" w:hAnsi="仿宋" w:eastAsia="仿宋" w:cs="宋体"/>
          <w:bCs/>
          <w:szCs w:val="28"/>
          <w:lang w:val="en-US" w:eastAsia="zh-CN"/>
        </w:rPr>
        <w:t xml:space="preserve"> </w:t>
      </w:r>
      <w:r>
        <w:rPr>
          <w:rFonts w:hint="eastAsia" w:ascii="仿宋" w:hAnsi="仿宋" w:eastAsia="仿宋" w:cs="宋体"/>
          <w:bCs/>
          <w:szCs w:val="28"/>
        </w:rPr>
        <w:t>。</w:t>
      </w:r>
    </w:p>
    <w:p>
      <w:pPr>
        <w:spacing w:line="520" w:lineRule="exact"/>
        <w:ind w:firstLine="562" w:firstLineChars="200"/>
        <w:jc w:val="both"/>
        <w:rPr>
          <w:rFonts w:hint="eastAsia" w:ascii="仿宋" w:hAnsi="仿宋" w:eastAsia="仿宋" w:cs="宋体"/>
          <w:b/>
          <w:bCs/>
          <w:color w:val="auto"/>
          <w:sz w:val="28"/>
          <w:szCs w:val="28"/>
        </w:rPr>
      </w:pPr>
      <w:r>
        <w:rPr>
          <w:rFonts w:hint="eastAsia" w:ascii="仿宋" w:hAnsi="仿宋" w:eastAsia="仿宋" w:cs="宋体"/>
          <w:b/>
          <w:bCs/>
          <w:color w:val="auto"/>
          <w:sz w:val="28"/>
          <w:szCs w:val="28"/>
        </w:rPr>
        <w:t>4．可持续影响</w:t>
      </w:r>
      <w:r>
        <w:rPr>
          <w:rFonts w:hint="eastAsia" w:ascii="仿宋" w:hAnsi="仿宋" w:eastAsia="仿宋" w:cs="宋体"/>
          <w:b/>
          <w:color w:val="auto"/>
          <w:sz w:val="28"/>
          <w:szCs w:val="28"/>
        </w:rPr>
        <w:t>（</w:t>
      </w:r>
      <w:r>
        <w:rPr>
          <w:rFonts w:hint="eastAsia" w:ascii="仿宋" w:hAnsi="仿宋" w:eastAsia="仿宋" w:cs="宋体"/>
          <w:b/>
          <w:bCs/>
          <w:color w:val="auto"/>
          <w:sz w:val="28"/>
          <w:szCs w:val="28"/>
          <w:lang w:bidi="ar"/>
        </w:rPr>
        <w:t>满分6分，</w:t>
      </w:r>
      <w:r>
        <w:rPr>
          <w:rFonts w:hint="eastAsia" w:ascii="仿宋" w:hAnsi="仿宋" w:eastAsia="仿宋" w:cs="宋体"/>
          <w:b/>
          <w:bCs/>
          <w:color w:val="auto"/>
          <w:sz w:val="28"/>
          <w:szCs w:val="28"/>
        </w:rPr>
        <w:t>得分</w:t>
      </w:r>
      <w:r>
        <w:rPr>
          <w:rFonts w:hint="eastAsia" w:ascii="仿宋" w:hAnsi="仿宋" w:eastAsia="仿宋" w:cs="宋体"/>
          <w:b/>
          <w:color w:val="auto"/>
          <w:sz w:val="28"/>
          <w:szCs w:val="28"/>
        </w:rPr>
        <w:t>5分）</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该指标</w:t>
      </w:r>
      <w:r>
        <w:rPr>
          <w:rFonts w:ascii="仿宋" w:hAnsi="仿宋" w:eastAsia="仿宋" w:cs="宋体"/>
          <w:color w:val="auto"/>
          <w:sz w:val="28"/>
          <w:szCs w:val="28"/>
        </w:rPr>
        <w:t>衡量项目或政策在环境、经济和社会等方面长期影响的一套综合指标，旨在确保所评价的</w:t>
      </w:r>
      <w:r>
        <w:rPr>
          <w:rFonts w:hint="eastAsia" w:ascii="仿宋" w:hAnsi="仿宋" w:eastAsia="仿宋" w:cs="宋体"/>
          <w:color w:val="auto"/>
          <w:sz w:val="28"/>
          <w:szCs w:val="28"/>
        </w:rPr>
        <w:t>项目</w:t>
      </w:r>
      <w:r>
        <w:rPr>
          <w:rFonts w:ascii="仿宋" w:hAnsi="仿宋" w:eastAsia="仿宋" w:cs="宋体"/>
          <w:color w:val="auto"/>
          <w:sz w:val="28"/>
          <w:szCs w:val="28"/>
        </w:rPr>
        <w:t>不仅满足当前需求，还能为未来的发展奠定坚实基础</w:t>
      </w:r>
      <w:r>
        <w:rPr>
          <w:rFonts w:hint="eastAsia" w:ascii="仿宋" w:hAnsi="仿宋" w:eastAsia="仿宋" w:cs="宋体"/>
          <w:color w:val="auto"/>
          <w:sz w:val="28"/>
          <w:szCs w:val="28"/>
        </w:rPr>
        <w:t>。</w:t>
      </w:r>
    </w:p>
    <w:p>
      <w:pPr>
        <w:spacing w:line="520" w:lineRule="exact"/>
        <w:ind w:firstLine="560" w:firstLineChars="200"/>
        <w:rPr>
          <w:rFonts w:hint="eastAsia" w:ascii="仿宋" w:hAnsi="仿宋" w:eastAsia="仿宋" w:cs="宋体"/>
          <w:color w:val="auto"/>
          <w:sz w:val="28"/>
          <w:szCs w:val="28"/>
        </w:rPr>
      </w:pPr>
      <w:r>
        <w:rPr>
          <w:rFonts w:hint="eastAsia" w:ascii="仿宋" w:hAnsi="仿宋" w:eastAsia="仿宋" w:cs="宋体"/>
          <w:color w:val="auto"/>
          <w:sz w:val="28"/>
          <w:szCs w:val="28"/>
        </w:rPr>
        <w:t>根据上述效益指标，从社会角度来看，</w:t>
      </w:r>
      <w:r>
        <w:rPr>
          <w:rFonts w:ascii="仿宋" w:hAnsi="仿宋" w:eastAsia="仿宋" w:cs="宋体"/>
          <w:color w:val="auto"/>
          <w:sz w:val="28"/>
          <w:szCs w:val="28"/>
        </w:rPr>
        <w:t>卫生健康服务能力提升项目的实施，显著扩大了地区的基础设施建设，如建设新的医疗设施、扩建医院等，这将有效增加社会服务容量，满足人民群众日益增长的医疗需求。</w:t>
      </w:r>
      <w:r>
        <w:rPr>
          <w:rFonts w:hint="eastAsia" w:ascii="仿宋" w:hAnsi="仿宋" w:eastAsia="仿宋" w:cs="宋体"/>
          <w:color w:val="auto"/>
          <w:sz w:val="28"/>
          <w:szCs w:val="28"/>
        </w:rPr>
        <w:t>从经济角度来看，</w:t>
      </w:r>
      <w:r>
        <w:rPr>
          <w:rFonts w:ascii="仿宋" w:hAnsi="仿宋" w:eastAsia="仿宋" w:cs="宋体"/>
          <w:color w:val="auto"/>
          <w:sz w:val="28"/>
          <w:szCs w:val="28"/>
        </w:rPr>
        <w:t>基础设施的扩大和服务容量的增加</w:t>
      </w:r>
      <w:r>
        <w:rPr>
          <w:rFonts w:hint="eastAsia" w:ascii="仿宋" w:hAnsi="仿宋" w:eastAsia="仿宋" w:cs="宋体"/>
          <w:color w:val="auto"/>
          <w:sz w:val="28"/>
          <w:szCs w:val="28"/>
        </w:rPr>
        <w:t>以及</w:t>
      </w:r>
      <w:r>
        <w:rPr>
          <w:rFonts w:ascii="仿宋" w:hAnsi="仿宋" w:eastAsia="仿宋" w:cs="宋体"/>
          <w:color w:val="auto"/>
          <w:sz w:val="28"/>
          <w:szCs w:val="28"/>
        </w:rPr>
        <w:t>医疗服务的提升将吸引更多的患者前来就医，增加医院的收入。此外，项目的建设还能创造大量的就业机会，缓解当地的就业压力，提高居民的生活水平和质量</w:t>
      </w:r>
      <w:r>
        <w:rPr>
          <w:rFonts w:hint="eastAsia" w:ascii="仿宋" w:hAnsi="仿宋" w:eastAsia="仿宋" w:cs="宋体"/>
          <w:color w:val="auto"/>
          <w:sz w:val="28"/>
          <w:szCs w:val="28"/>
        </w:rPr>
        <w:t>。但是此项指标从债券资金的运用角度属于正向指标，而从公共服务的角度来说一味追求收入可能引发政府的道德风险，此项指标酌情扣1分。从生态角度来看，</w:t>
      </w:r>
      <w:r>
        <w:rPr>
          <w:rFonts w:ascii="仿宋" w:hAnsi="仿宋" w:eastAsia="仿宋" w:cs="宋体"/>
          <w:color w:val="auto"/>
          <w:sz w:val="28"/>
          <w:szCs w:val="28"/>
        </w:rPr>
        <w:t>医疗废水的处理是生态环境保护的重要一环。项目</w:t>
      </w:r>
      <w:r>
        <w:rPr>
          <w:rFonts w:hint="eastAsia" w:ascii="仿宋" w:hAnsi="仿宋" w:eastAsia="仿宋" w:cs="宋体"/>
          <w:color w:val="auto"/>
          <w:sz w:val="28"/>
          <w:szCs w:val="28"/>
        </w:rPr>
        <w:t>改进了污水处理设备，</w:t>
      </w:r>
      <w:r>
        <w:rPr>
          <w:rFonts w:ascii="仿宋" w:hAnsi="仿宋" w:eastAsia="仿宋" w:cs="宋体"/>
          <w:color w:val="auto"/>
          <w:sz w:val="28"/>
          <w:szCs w:val="28"/>
        </w:rPr>
        <w:t>有利于保护自然资源</w:t>
      </w:r>
      <w:r>
        <w:rPr>
          <w:rFonts w:hint="eastAsia" w:ascii="仿宋" w:hAnsi="仿宋" w:eastAsia="仿宋" w:cs="宋体"/>
          <w:color w:val="auto"/>
          <w:sz w:val="28"/>
          <w:szCs w:val="28"/>
        </w:rPr>
        <w:t>，</w:t>
      </w:r>
      <w:r>
        <w:rPr>
          <w:rFonts w:ascii="仿宋" w:hAnsi="仿宋" w:eastAsia="仿宋" w:cs="宋体"/>
          <w:color w:val="auto"/>
          <w:sz w:val="28"/>
          <w:szCs w:val="28"/>
        </w:rPr>
        <w:t>减少医疗废水造成的污染和疾病传播</w:t>
      </w:r>
      <w:r>
        <w:rPr>
          <w:rFonts w:hint="eastAsia" w:ascii="仿宋" w:hAnsi="仿宋" w:eastAsia="仿宋" w:cs="宋体"/>
          <w:color w:val="auto"/>
          <w:sz w:val="28"/>
          <w:szCs w:val="28"/>
        </w:rPr>
        <w:t>。</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rPr>
        <w:t>根据指标体系评分标准，此项指标扣1分，绩效评价综合得分为5分。</w:t>
      </w:r>
    </w:p>
    <w:p>
      <w:pPr>
        <w:keepNext/>
        <w:keepLines/>
        <w:spacing w:line="520" w:lineRule="exact"/>
        <w:ind w:left="482"/>
        <w:jc w:val="both"/>
        <w:rPr>
          <w:rFonts w:hint="eastAsia" w:ascii="仿宋" w:hAnsi="仿宋" w:eastAsia="仿宋" w:cs="宋体"/>
          <w:b/>
          <w:color w:val="auto"/>
          <w:sz w:val="28"/>
          <w:szCs w:val="28"/>
        </w:rPr>
      </w:pPr>
      <w:r>
        <w:rPr>
          <w:rFonts w:hint="eastAsia" w:ascii="仿宋" w:hAnsi="仿宋" w:eastAsia="仿宋" w:cs="宋体"/>
          <w:b/>
          <w:bCs/>
          <w:color w:val="auto"/>
          <w:sz w:val="28"/>
          <w:szCs w:val="28"/>
        </w:rPr>
        <w:t>5．满意</w:t>
      </w:r>
      <w:r>
        <w:rPr>
          <w:rFonts w:hint="eastAsia" w:ascii="仿宋" w:hAnsi="仿宋" w:eastAsia="仿宋" w:cs="宋体"/>
          <w:b/>
          <w:color w:val="auto"/>
          <w:sz w:val="28"/>
          <w:szCs w:val="28"/>
        </w:rPr>
        <w:t>度（满分10分，得分9.30分）</w:t>
      </w:r>
    </w:p>
    <w:p>
      <w:pPr>
        <w:spacing w:line="520" w:lineRule="exact"/>
        <w:ind w:firstLine="548" w:firstLineChars="196"/>
        <w:jc w:val="both"/>
        <w:rPr>
          <w:rFonts w:hint="eastAsia" w:ascii="仿宋" w:hAnsi="仿宋" w:eastAsia="仿宋" w:cs="宋体"/>
          <w:color w:val="auto"/>
          <w:sz w:val="28"/>
          <w:szCs w:val="28"/>
        </w:rPr>
      </w:pPr>
      <w:bookmarkStart w:id="76" w:name="_Toc26774630"/>
      <w:r>
        <w:rPr>
          <w:rFonts w:hint="eastAsia" w:ascii="仿宋" w:hAnsi="仿宋" w:eastAsia="仿宋" w:cs="宋体"/>
          <w:color w:val="auto"/>
          <w:sz w:val="28"/>
          <w:szCs w:val="28"/>
        </w:rPr>
        <w:t>绩效评价小组制定了《2023年度仓山区卫生健康服务能力提升项目（债券资金）支出满意度调查问卷（职工）》和《2023年度仓山区卫生健康服务能力提升项目（债券资金）支出满意度调查问卷（患者）》，通过线上方式对项目实施情况进行满意度问卷调查，前者共回收问卷15份，其中有效问卷15份，后者共回收问卷141份，扣除“暂未体验”问卷20分，有效问卷121份。关于所在区域的问题中，答题者分布较为平均，具有较强的代表性和可信度。</w:t>
      </w:r>
    </w:p>
    <w:p>
      <w:pPr>
        <w:spacing w:line="520" w:lineRule="exact"/>
        <w:ind w:firstLine="548" w:firstLineChars="196"/>
        <w:jc w:val="both"/>
        <w:rPr>
          <w:rFonts w:hint="eastAsia" w:ascii="仿宋" w:hAnsi="仿宋" w:eastAsia="仿宋" w:cs="宋体"/>
          <w:color w:val="auto"/>
          <w:sz w:val="28"/>
          <w:szCs w:val="28"/>
        </w:rPr>
      </w:pPr>
      <w:r>
        <w:rPr>
          <w:rFonts w:hint="eastAsia" w:ascii="仿宋" w:hAnsi="仿宋" w:eastAsia="仿宋" w:cs="宋体"/>
          <w:color w:val="auto"/>
          <w:sz w:val="28"/>
          <w:szCs w:val="28"/>
        </w:rPr>
        <w:t>（1）职工满意度（</w:t>
      </w:r>
      <w:r>
        <w:rPr>
          <w:rFonts w:hint="eastAsia" w:ascii="仿宋" w:hAnsi="仿宋" w:eastAsia="仿宋" w:cs="宋体"/>
          <w:b/>
          <w:color w:val="auto"/>
          <w:sz w:val="28"/>
          <w:szCs w:val="28"/>
        </w:rPr>
        <w:t>得分4.73分</w:t>
      </w:r>
      <w:r>
        <w:rPr>
          <w:rFonts w:hint="eastAsia" w:ascii="仿宋" w:hAnsi="仿宋" w:eastAsia="仿宋" w:cs="宋体"/>
          <w:color w:val="auto"/>
          <w:sz w:val="28"/>
          <w:szCs w:val="28"/>
        </w:rPr>
        <w:t>）</w:t>
      </w:r>
    </w:p>
    <w:p>
      <w:pPr>
        <w:spacing w:line="520" w:lineRule="exact"/>
        <w:ind w:firstLine="548" w:firstLineChars="196"/>
        <w:jc w:val="both"/>
        <w:rPr>
          <w:rFonts w:hint="eastAsia" w:ascii="仿宋" w:hAnsi="仿宋" w:eastAsia="仿宋" w:cs="宋体"/>
          <w:color w:val="auto"/>
          <w:sz w:val="28"/>
          <w:szCs w:val="28"/>
        </w:rPr>
      </w:pPr>
      <w:r>
        <w:rPr>
          <w:rFonts w:hint="eastAsia" w:ascii="仿宋" w:hAnsi="仿宋" w:eastAsia="仿宋" w:cs="宋体"/>
          <w:color w:val="auto"/>
          <w:sz w:val="28"/>
          <w:szCs w:val="28"/>
        </w:rPr>
        <w:t>根据问卷调查结果显示，回收问卷中答“非常满意”12份，“比较满意”2份，“一般”1份、“不满意”0份</w:t>
      </w:r>
      <w:r>
        <w:rPr>
          <w:rFonts w:ascii="仿宋" w:hAnsi="仿宋" w:eastAsia="仿宋" w:cs="宋体"/>
          <w:color w:val="auto"/>
          <w:sz w:val="28"/>
          <w:szCs w:val="28"/>
        </w:rPr>
        <w:t>，</w:t>
      </w:r>
      <w:r>
        <w:rPr>
          <w:rFonts w:hint="eastAsia" w:ascii="仿宋" w:hAnsi="仿宋" w:eastAsia="仿宋" w:cs="宋体"/>
          <w:color w:val="auto"/>
          <w:sz w:val="28"/>
          <w:szCs w:val="28"/>
        </w:rPr>
        <w:t>此项指标绩效评价得分为（5×12+4×2+3×1+0×0）/15=4.73分。项目实施成效较为显著。</w:t>
      </w:r>
    </w:p>
    <w:p>
      <w:pPr>
        <w:spacing w:line="520" w:lineRule="exact"/>
        <w:ind w:firstLine="548" w:firstLineChars="196"/>
        <w:jc w:val="both"/>
        <w:rPr>
          <w:rFonts w:hint="eastAsia" w:ascii="仿宋" w:hAnsi="仿宋" w:eastAsia="仿宋" w:cs="宋体"/>
          <w:color w:val="auto"/>
          <w:sz w:val="28"/>
          <w:szCs w:val="28"/>
        </w:rPr>
      </w:pPr>
      <w:r>
        <w:rPr>
          <w:rFonts w:hint="eastAsia" w:ascii="仿宋" w:hAnsi="仿宋" w:eastAsia="仿宋" w:cs="宋体"/>
          <w:color w:val="auto"/>
          <w:sz w:val="28"/>
          <w:szCs w:val="28"/>
        </w:rPr>
        <w:t>（2）患者满意度（</w:t>
      </w:r>
      <w:r>
        <w:rPr>
          <w:rFonts w:hint="eastAsia" w:ascii="仿宋" w:hAnsi="仿宋" w:eastAsia="仿宋" w:cs="宋体"/>
          <w:b/>
          <w:color w:val="auto"/>
          <w:sz w:val="28"/>
          <w:szCs w:val="28"/>
        </w:rPr>
        <w:t>得分4.57分</w:t>
      </w:r>
      <w:r>
        <w:rPr>
          <w:rFonts w:hint="eastAsia" w:ascii="仿宋" w:hAnsi="仿宋" w:eastAsia="仿宋" w:cs="宋体"/>
          <w:color w:val="auto"/>
          <w:sz w:val="28"/>
          <w:szCs w:val="28"/>
        </w:rPr>
        <w:t>）</w:t>
      </w:r>
    </w:p>
    <w:p>
      <w:pPr>
        <w:spacing w:line="520" w:lineRule="exact"/>
        <w:ind w:firstLine="548" w:firstLineChars="196"/>
        <w:jc w:val="both"/>
        <w:rPr>
          <w:rFonts w:hint="eastAsia" w:ascii="仿宋" w:hAnsi="仿宋" w:eastAsia="仿宋" w:cs="宋体"/>
          <w:color w:val="auto"/>
          <w:sz w:val="28"/>
          <w:szCs w:val="28"/>
        </w:rPr>
      </w:pPr>
      <w:r>
        <w:rPr>
          <w:rFonts w:hint="eastAsia" w:ascii="仿宋" w:hAnsi="仿宋" w:eastAsia="仿宋" w:cs="宋体"/>
          <w:color w:val="auto"/>
          <w:sz w:val="28"/>
          <w:szCs w:val="28"/>
        </w:rPr>
        <w:t>根据问卷调查结果显示，回收问卷中答“非常满意”89份，“比较满意”21份，“一般”8份、“不满意”3份</w:t>
      </w:r>
      <w:r>
        <w:rPr>
          <w:rFonts w:ascii="仿宋" w:hAnsi="仿宋" w:eastAsia="仿宋" w:cs="宋体"/>
          <w:color w:val="auto"/>
          <w:sz w:val="28"/>
          <w:szCs w:val="28"/>
        </w:rPr>
        <w:t>，</w:t>
      </w:r>
      <w:r>
        <w:rPr>
          <w:rFonts w:hint="eastAsia" w:ascii="仿宋" w:hAnsi="仿宋" w:eastAsia="仿宋" w:cs="宋体"/>
          <w:color w:val="auto"/>
          <w:sz w:val="28"/>
          <w:szCs w:val="28"/>
        </w:rPr>
        <w:t>此项指标绩效评价得分为（5×89+4×21+3×8+0×3）/121=4.57分。</w:t>
      </w:r>
    </w:p>
    <w:bookmarkEnd w:id="76"/>
    <w:p>
      <w:pPr>
        <w:spacing w:line="520" w:lineRule="exact"/>
        <w:ind w:firstLine="560" w:firstLineChars="200"/>
        <w:jc w:val="both"/>
        <w:outlineLvl w:val="0"/>
        <w:rPr>
          <w:rFonts w:hint="eastAsia" w:ascii="黑体" w:hAnsi="黑体" w:eastAsia="黑体" w:cs="黑体"/>
          <w:color w:val="auto"/>
          <w:sz w:val="28"/>
          <w:szCs w:val="28"/>
        </w:rPr>
      </w:pPr>
      <w:bookmarkStart w:id="77" w:name="_Toc186450524"/>
      <w:r>
        <w:rPr>
          <w:rFonts w:hint="eastAsia" w:ascii="黑体" w:hAnsi="黑体" w:eastAsia="黑体" w:cs="黑体"/>
          <w:color w:val="auto"/>
          <w:sz w:val="28"/>
          <w:szCs w:val="28"/>
        </w:rPr>
        <w:t>五、主要经验及做法</w:t>
      </w:r>
      <w:bookmarkEnd w:id="77"/>
    </w:p>
    <w:bookmarkEnd w:id="74"/>
    <w:bookmarkEnd w:id="75"/>
    <w:p>
      <w:pPr>
        <w:pStyle w:val="119"/>
        <w:shd w:val="clear" w:color="auto" w:fill="FFFFFF"/>
        <w:adjustRightInd w:val="0"/>
        <w:snapToGrid w:val="0"/>
        <w:spacing w:before="0" w:beforeAutospacing="0" w:after="0" w:afterAutospacing="0" w:line="520" w:lineRule="exact"/>
        <w:ind w:firstLine="482"/>
        <w:jc w:val="both"/>
        <w:rPr>
          <w:rFonts w:hint="eastAsia" w:ascii="仿宋" w:hAnsi="仿宋" w:eastAsia="仿宋"/>
          <w:kern w:val="2"/>
          <w:sz w:val="28"/>
          <w:szCs w:val="28"/>
        </w:rPr>
      </w:pPr>
      <w:r>
        <w:rPr>
          <w:rFonts w:ascii="仿宋" w:hAnsi="仿宋" w:eastAsia="仿宋"/>
          <w:sz w:val="28"/>
          <w:szCs w:val="28"/>
        </w:rPr>
        <w:t>该项目通过政府专项债券资金的投入，成功地对街道卫生院进行了全面的改造升级，包括</w:t>
      </w:r>
      <w:r>
        <w:rPr>
          <w:rFonts w:hint="eastAsia" w:ascii="仿宋" w:hAnsi="仿宋" w:eastAsia="仿宋"/>
          <w:sz w:val="28"/>
          <w:szCs w:val="28"/>
        </w:rPr>
        <w:t>主体施工</w:t>
      </w:r>
      <w:r>
        <w:rPr>
          <w:rFonts w:ascii="仿宋" w:hAnsi="仿宋" w:eastAsia="仿宋"/>
          <w:sz w:val="28"/>
          <w:szCs w:val="28"/>
        </w:rPr>
        <w:t>、装修以及设备更新等方面。项目完成后，不仅提高了</w:t>
      </w:r>
      <w:r>
        <w:rPr>
          <w:rFonts w:hint="eastAsia" w:ascii="仿宋" w:hAnsi="仿宋" w:eastAsia="仿宋"/>
          <w:sz w:val="28"/>
          <w:szCs w:val="28"/>
        </w:rPr>
        <w:t>医疗容量</w:t>
      </w:r>
      <w:r>
        <w:rPr>
          <w:rFonts w:ascii="仿宋" w:hAnsi="仿宋" w:eastAsia="仿宋"/>
          <w:sz w:val="28"/>
          <w:szCs w:val="28"/>
        </w:rPr>
        <w:t>，还显著提升了群众的满意度，实现了良好的社会效益</w:t>
      </w:r>
      <w:r>
        <w:rPr>
          <w:rFonts w:hint="eastAsia" w:ascii="仿宋" w:hAnsi="仿宋" w:eastAsia="仿宋"/>
          <w:kern w:val="2"/>
          <w:sz w:val="28"/>
          <w:szCs w:val="28"/>
        </w:rPr>
        <w:t>。主要经验有如下三点：</w:t>
      </w:r>
    </w:p>
    <w:p>
      <w:pPr>
        <w:spacing w:line="520" w:lineRule="exact"/>
        <w:ind w:firstLine="560" w:firstLineChars="200"/>
        <w:outlineLvl w:val="1"/>
        <w:rPr>
          <w:rFonts w:hint="eastAsia" w:ascii="楷体" w:hAnsi="楷体" w:eastAsia="楷体" w:cs="楷体"/>
          <w:sz w:val="28"/>
          <w:szCs w:val="28"/>
        </w:rPr>
      </w:pPr>
      <w:bookmarkStart w:id="78" w:name="_Toc186450525"/>
      <w:r>
        <w:rPr>
          <w:rFonts w:hint="eastAsia" w:ascii="楷体" w:hAnsi="楷体" w:eastAsia="楷体" w:cs="楷体"/>
          <w:color w:val="auto"/>
          <w:sz w:val="28"/>
          <w:szCs w:val="28"/>
        </w:rPr>
        <w:t>（一）</w:t>
      </w:r>
      <w:r>
        <w:rPr>
          <w:rFonts w:ascii="楷体" w:hAnsi="楷体" w:eastAsia="楷体" w:cs="楷体"/>
          <w:sz w:val="28"/>
          <w:szCs w:val="28"/>
        </w:rPr>
        <w:t>抓准医疗机构定位与布局，促进分级诊疗</w:t>
      </w:r>
      <w:bookmarkEnd w:id="78"/>
    </w:p>
    <w:p>
      <w:pPr>
        <w:pStyle w:val="119"/>
        <w:shd w:val="clear" w:color="auto" w:fill="FFFFFF"/>
        <w:adjustRightInd w:val="0"/>
        <w:snapToGrid w:val="0"/>
        <w:spacing w:before="0" w:beforeAutospacing="0" w:after="0" w:afterAutospacing="0" w:line="520" w:lineRule="exact"/>
        <w:ind w:firstLine="482"/>
        <w:jc w:val="both"/>
        <w:rPr>
          <w:rFonts w:hint="eastAsia" w:ascii="仿宋" w:hAnsi="仿宋" w:eastAsia="仿宋"/>
          <w:kern w:val="2"/>
          <w:sz w:val="28"/>
          <w:szCs w:val="28"/>
        </w:rPr>
      </w:pPr>
      <w:r>
        <w:rPr>
          <w:rFonts w:ascii="仿宋" w:hAnsi="仿宋" w:eastAsia="仿宋"/>
          <w:sz w:val="28"/>
          <w:szCs w:val="28"/>
        </w:rPr>
        <w:t>社区医院作为基层医疗卫生机构，其定位应明确为提供基本医疗服务和公共卫生服务的重要载体。在项目实施过程中，</w:t>
      </w:r>
      <w:r>
        <w:rPr>
          <w:rFonts w:hint="eastAsia" w:ascii="仿宋" w:hAnsi="仿宋" w:eastAsia="仿宋"/>
          <w:sz w:val="28"/>
          <w:szCs w:val="28"/>
        </w:rPr>
        <w:t>该项目</w:t>
      </w:r>
      <w:r>
        <w:rPr>
          <w:rFonts w:ascii="仿宋" w:hAnsi="仿宋" w:eastAsia="仿宋"/>
          <w:sz w:val="28"/>
          <w:szCs w:val="28"/>
        </w:rPr>
        <w:t>首先抓准了社区医院的定位，明确其服务范围和服务对象，</w:t>
      </w:r>
      <w:r>
        <w:rPr>
          <w:rFonts w:ascii="仿宋" w:hAnsi="仿宋" w:eastAsia="仿宋"/>
          <w:kern w:val="2"/>
          <w:sz w:val="28"/>
          <w:szCs w:val="28"/>
        </w:rPr>
        <w:t>根据社区人口分布以及群众就医需求等因素，科学规划了社区医院的布局和规模</w:t>
      </w:r>
      <w:r>
        <w:rPr>
          <w:rFonts w:ascii="仿宋" w:hAnsi="仿宋" w:eastAsia="仿宋"/>
          <w:sz w:val="28"/>
          <w:szCs w:val="28"/>
        </w:rPr>
        <w:t>从而合理布局医疗资源。通过优化医疗资源配置，</w:t>
      </w:r>
      <w:r>
        <w:rPr>
          <w:rFonts w:ascii="仿宋" w:hAnsi="仿宋" w:eastAsia="仿宋"/>
          <w:kern w:val="2"/>
          <w:sz w:val="28"/>
          <w:szCs w:val="28"/>
        </w:rPr>
        <w:t>为群众提供优质的医疗服务</w:t>
      </w:r>
      <w:r>
        <w:rPr>
          <w:rFonts w:hint="eastAsia" w:ascii="仿宋" w:hAnsi="仿宋" w:eastAsia="仿宋"/>
          <w:kern w:val="2"/>
          <w:sz w:val="28"/>
          <w:szCs w:val="28"/>
        </w:rPr>
        <w:t>，</w:t>
      </w:r>
      <w:r>
        <w:rPr>
          <w:rFonts w:ascii="仿宋" w:hAnsi="仿宋" w:eastAsia="仿宋"/>
          <w:sz w:val="28"/>
          <w:szCs w:val="28"/>
        </w:rPr>
        <w:t>提高了医疗资源的利用效率，还增强了社区医院的综合服务能力，促进了分级诊疗体系的落地实施。</w:t>
      </w:r>
    </w:p>
    <w:p>
      <w:pPr>
        <w:spacing w:line="520" w:lineRule="exact"/>
        <w:ind w:firstLine="560" w:firstLineChars="200"/>
        <w:outlineLvl w:val="1"/>
        <w:rPr>
          <w:rFonts w:hint="eastAsia" w:ascii="楷体" w:hAnsi="楷体" w:eastAsia="楷体" w:cs="楷体"/>
          <w:sz w:val="28"/>
          <w:szCs w:val="28"/>
        </w:rPr>
      </w:pPr>
      <w:bookmarkStart w:id="79" w:name="_Toc186450526"/>
      <w:r>
        <w:rPr>
          <w:rFonts w:hint="eastAsia" w:ascii="楷体" w:hAnsi="楷体" w:eastAsia="楷体" w:cs="楷体"/>
          <w:sz w:val="28"/>
          <w:szCs w:val="28"/>
        </w:rPr>
        <w:t>（二）细化前期调研，严格项目立项</w:t>
      </w:r>
      <w:bookmarkEnd w:id="79"/>
    </w:p>
    <w:p>
      <w:pPr>
        <w:pStyle w:val="119"/>
        <w:shd w:val="clear" w:color="auto" w:fill="FFFFFF"/>
        <w:adjustRightInd w:val="0"/>
        <w:snapToGrid w:val="0"/>
        <w:spacing w:before="0" w:beforeAutospacing="0" w:after="0" w:afterAutospacing="0" w:line="520" w:lineRule="exact"/>
        <w:ind w:firstLine="482"/>
        <w:jc w:val="both"/>
        <w:rPr>
          <w:rFonts w:hint="eastAsia" w:ascii="仿宋" w:hAnsi="仿宋" w:eastAsia="仿宋"/>
          <w:sz w:val="28"/>
          <w:szCs w:val="28"/>
        </w:rPr>
      </w:pPr>
      <w:r>
        <w:rPr>
          <w:rFonts w:ascii="仿宋" w:hAnsi="仿宋" w:eastAsia="仿宋"/>
          <w:sz w:val="28"/>
          <w:szCs w:val="28"/>
        </w:rPr>
        <w:t>仓山区</w:t>
      </w:r>
      <w:r>
        <w:rPr>
          <w:rFonts w:hint="eastAsia" w:ascii="仿宋" w:hAnsi="仿宋" w:eastAsia="仿宋"/>
          <w:sz w:val="28"/>
          <w:szCs w:val="28"/>
        </w:rPr>
        <w:t>卫生健康局在项目立项前对社区医院现状进行充分的调查和分析，</w:t>
      </w:r>
      <w:r>
        <w:rPr>
          <w:rFonts w:ascii="仿宋" w:hAnsi="仿宋" w:eastAsia="仿宋"/>
          <w:sz w:val="28"/>
          <w:szCs w:val="28"/>
        </w:rPr>
        <w:t>在项目启动之初，为了确保项目的可行性和有效性，投入了大量的时间和精力进行深入的调研。调研内容包括但不限于社区人口结构、健康需求、医疗资源现状、政策环境等</w:t>
      </w:r>
      <w:r>
        <w:rPr>
          <w:rFonts w:hint="eastAsia" w:ascii="仿宋" w:hAnsi="仿宋" w:eastAsia="仿宋"/>
          <w:sz w:val="28"/>
          <w:szCs w:val="28"/>
        </w:rPr>
        <w:t>，</w:t>
      </w:r>
      <w:r>
        <w:rPr>
          <w:rFonts w:ascii="仿宋" w:hAnsi="仿宋" w:eastAsia="仿宋"/>
          <w:sz w:val="28"/>
          <w:szCs w:val="28"/>
        </w:rPr>
        <w:t>收集了大量的第一手数据和信息，为后续的项目设计和实施提供了坚实的基础。在调研的基础上，严格按照相关政策和程序进行了项目立项</w:t>
      </w:r>
      <w:r>
        <w:rPr>
          <w:rFonts w:hint="eastAsia" w:ascii="仿宋" w:hAnsi="仿宋" w:eastAsia="仿宋"/>
          <w:sz w:val="28"/>
          <w:szCs w:val="28"/>
        </w:rPr>
        <w:t>，并</w:t>
      </w:r>
      <w:r>
        <w:rPr>
          <w:rFonts w:ascii="仿宋" w:hAnsi="仿宋" w:eastAsia="仿宋"/>
          <w:sz w:val="28"/>
          <w:szCs w:val="28"/>
        </w:rPr>
        <w:t>组织专家对项目的可行性、必要性、经济性等方面进行了全面的论证和评估，确保项目符合国家和地方的发展规划，能够满足社区居民的实际需求，并具备可持续发展的潜力</w:t>
      </w:r>
      <w:r>
        <w:rPr>
          <w:rFonts w:hint="eastAsia" w:ascii="仿宋" w:hAnsi="仿宋" w:eastAsia="仿宋"/>
          <w:sz w:val="28"/>
          <w:szCs w:val="28"/>
        </w:rPr>
        <w:t>。</w:t>
      </w:r>
    </w:p>
    <w:p>
      <w:pPr>
        <w:spacing w:line="520" w:lineRule="exact"/>
        <w:ind w:firstLine="560" w:firstLineChars="200"/>
        <w:outlineLvl w:val="1"/>
        <w:rPr>
          <w:rFonts w:hint="eastAsia" w:ascii="楷体" w:hAnsi="楷体" w:eastAsia="楷体" w:cs="楷体"/>
          <w:sz w:val="28"/>
          <w:szCs w:val="28"/>
        </w:rPr>
      </w:pPr>
      <w:bookmarkStart w:id="80" w:name="_Toc186450527"/>
      <w:r>
        <w:rPr>
          <w:rFonts w:hint="eastAsia" w:ascii="楷体" w:hAnsi="楷体" w:eastAsia="楷体" w:cs="楷体"/>
          <w:sz w:val="28"/>
          <w:szCs w:val="28"/>
        </w:rPr>
        <w:t>（三）</w:t>
      </w:r>
      <w:r>
        <w:rPr>
          <w:rFonts w:ascii="楷体" w:hAnsi="楷体" w:eastAsia="楷体" w:cs="楷体"/>
          <w:sz w:val="28"/>
          <w:szCs w:val="28"/>
        </w:rPr>
        <w:t>扩充医疗卫生资源，提高公共卫生服务能力</w:t>
      </w:r>
      <w:bookmarkEnd w:id="80"/>
    </w:p>
    <w:p>
      <w:pPr>
        <w:pStyle w:val="119"/>
        <w:shd w:val="clear" w:color="auto" w:fill="FFFFFF"/>
        <w:adjustRightInd w:val="0"/>
        <w:snapToGrid w:val="0"/>
        <w:spacing w:before="0" w:beforeAutospacing="0" w:after="0" w:afterAutospacing="0" w:line="520" w:lineRule="exact"/>
        <w:ind w:firstLine="560" w:firstLineChars="200"/>
        <w:jc w:val="both"/>
        <w:rPr>
          <w:rFonts w:hint="eastAsia" w:ascii="仿宋" w:hAnsi="仿宋" w:eastAsia="仿宋"/>
          <w:kern w:val="2"/>
          <w:sz w:val="28"/>
          <w:szCs w:val="28"/>
        </w:rPr>
      </w:pPr>
      <w:r>
        <w:rPr>
          <w:rFonts w:ascii="仿宋" w:hAnsi="仿宋" w:eastAsia="仿宋"/>
          <w:sz w:val="28"/>
          <w:szCs w:val="28"/>
        </w:rPr>
        <w:t>仓山区</w:t>
      </w:r>
      <w:r>
        <w:rPr>
          <w:rFonts w:hint="eastAsia" w:ascii="仿宋" w:hAnsi="仿宋" w:eastAsia="仿宋"/>
          <w:sz w:val="28"/>
          <w:szCs w:val="28"/>
        </w:rPr>
        <w:t>卫生健康局</w:t>
      </w:r>
      <w:r>
        <w:rPr>
          <w:rFonts w:ascii="仿宋" w:hAnsi="仿宋" w:eastAsia="仿宋"/>
          <w:sz w:val="28"/>
          <w:szCs w:val="28"/>
        </w:rPr>
        <w:t>在项目推进过程中，始终紧跟国家和地方关于卫生健康服务的政策指引，了解政策导向和重点任务，将政策要求转化为具体的项目目标和实施计划</w:t>
      </w:r>
      <w:r>
        <w:rPr>
          <w:rFonts w:hint="eastAsia" w:ascii="仿宋" w:hAnsi="仿宋" w:eastAsia="仿宋"/>
          <w:kern w:val="2"/>
          <w:sz w:val="28"/>
          <w:szCs w:val="28"/>
        </w:rPr>
        <w:t>。</w:t>
      </w:r>
      <w:r>
        <w:rPr>
          <w:rFonts w:hint="eastAsia" w:ascii="仿宋" w:hAnsi="仿宋" w:eastAsia="仿宋"/>
          <w:sz w:val="28"/>
          <w:szCs w:val="28"/>
        </w:rPr>
        <w:t>针</w:t>
      </w:r>
      <w:r>
        <w:rPr>
          <w:rFonts w:ascii="仿宋" w:hAnsi="仿宋" w:eastAsia="仿宋"/>
          <w:sz w:val="28"/>
          <w:szCs w:val="28"/>
        </w:rPr>
        <w:t>对社区医院在医疗卫生资源方面的不足，采取了多项措施进行扩充和提升</w:t>
      </w:r>
      <w:r>
        <w:rPr>
          <w:rFonts w:hint="eastAsia" w:ascii="仿宋" w:hAnsi="仿宋" w:eastAsia="仿宋"/>
          <w:sz w:val="28"/>
          <w:szCs w:val="28"/>
        </w:rPr>
        <w:t>，</w:t>
      </w:r>
      <w:r>
        <w:rPr>
          <w:rFonts w:hint="eastAsia" w:ascii="仿宋" w:hAnsi="仿宋" w:eastAsia="仿宋"/>
          <w:kern w:val="2"/>
          <w:sz w:val="28"/>
          <w:szCs w:val="28"/>
        </w:rPr>
        <w:t>通过引入先进的医疗技术和设备、建设信息化医疗设施、优化服务流程等措施，提高了社区医院的诊疗水平和服务质量，增强了公共卫生服务能力。</w:t>
      </w:r>
    </w:p>
    <w:p>
      <w:pPr>
        <w:spacing w:line="520" w:lineRule="exact"/>
        <w:ind w:firstLine="560" w:firstLineChars="200"/>
        <w:jc w:val="both"/>
        <w:outlineLvl w:val="0"/>
        <w:rPr>
          <w:rFonts w:hint="eastAsia" w:ascii="黑体" w:hAnsi="黑体" w:eastAsia="黑体" w:cs="黑体"/>
          <w:color w:val="auto"/>
          <w:sz w:val="28"/>
          <w:szCs w:val="28"/>
        </w:rPr>
      </w:pPr>
      <w:bookmarkStart w:id="81" w:name="_Toc186450528"/>
      <w:bookmarkStart w:id="82" w:name="_Toc23094"/>
      <w:bookmarkStart w:id="83" w:name="_Toc26832"/>
      <w:bookmarkStart w:id="84" w:name="_Toc22833"/>
      <w:bookmarkStart w:id="85" w:name="_Toc31180"/>
      <w:bookmarkStart w:id="86" w:name="_Toc2822"/>
      <w:r>
        <w:rPr>
          <w:rFonts w:hint="eastAsia" w:ascii="黑体" w:hAnsi="黑体" w:eastAsia="黑体" w:cs="黑体"/>
          <w:color w:val="auto"/>
          <w:sz w:val="28"/>
          <w:szCs w:val="28"/>
        </w:rPr>
        <w:t>六、存在的主要问题和建议</w:t>
      </w:r>
      <w:bookmarkEnd w:id="81"/>
      <w:bookmarkEnd w:id="82"/>
      <w:bookmarkEnd w:id="83"/>
      <w:bookmarkEnd w:id="84"/>
      <w:bookmarkEnd w:id="85"/>
      <w:bookmarkEnd w:id="86"/>
    </w:p>
    <w:p>
      <w:pPr>
        <w:spacing w:line="520" w:lineRule="exact"/>
        <w:ind w:firstLine="560" w:firstLineChars="200"/>
        <w:jc w:val="both"/>
        <w:outlineLvl w:val="1"/>
        <w:rPr>
          <w:rFonts w:hint="eastAsia" w:ascii="楷体" w:hAnsi="楷体" w:eastAsia="楷体" w:cs="楷体"/>
          <w:color w:val="auto"/>
          <w:sz w:val="28"/>
          <w:szCs w:val="28"/>
        </w:rPr>
      </w:pPr>
      <w:bookmarkStart w:id="87" w:name="_Toc29900"/>
      <w:bookmarkStart w:id="88" w:name="_Toc22650"/>
      <w:bookmarkStart w:id="89" w:name="_Toc186450529"/>
      <w:bookmarkStart w:id="90" w:name="_Toc28643"/>
      <w:r>
        <w:rPr>
          <w:rFonts w:hint="eastAsia" w:ascii="楷体" w:hAnsi="楷体" w:eastAsia="楷体" w:cs="楷体"/>
          <w:color w:val="auto"/>
          <w:sz w:val="28"/>
          <w:szCs w:val="28"/>
        </w:rPr>
        <w:t>（一）存在的主要问题</w:t>
      </w:r>
      <w:bookmarkEnd w:id="87"/>
      <w:bookmarkEnd w:id="88"/>
      <w:bookmarkEnd w:id="89"/>
      <w:bookmarkEnd w:id="90"/>
    </w:p>
    <w:p>
      <w:pPr>
        <w:spacing w:line="520" w:lineRule="exact"/>
        <w:ind w:firstLine="562" w:firstLineChars="200"/>
        <w:jc w:val="both"/>
        <w:rPr>
          <w:rFonts w:hint="eastAsia" w:ascii="仿宋" w:hAnsi="仿宋" w:eastAsia="仿宋" w:cs="宋体"/>
          <w:b/>
          <w:bCs/>
          <w:color w:val="auto"/>
          <w:sz w:val="28"/>
          <w:szCs w:val="28"/>
        </w:rPr>
      </w:pPr>
      <w:r>
        <w:rPr>
          <w:rFonts w:hint="eastAsia" w:ascii="仿宋" w:hAnsi="仿宋" w:eastAsia="仿宋" w:cs="宋体"/>
          <w:b/>
          <w:bCs/>
          <w:color w:val="auto"/>
          <w:sz w:val="28"/>
          <w:szCs w:val="28"/>
        </w:rPr>
        <w:t>1.</w:t>
      </w:r>
      <w:r>
        <w:rPr>
          <w:rFonts w:hint="eastAsia"/>
        </w:rPr>
        <w:t xml:space="preserve"> </w:t>
      </w:r>
      <w:r>
        <w:rPr>
          <w:rFonts w:hint="eastAsia" w:ascii="仿宋" w:hAnsi="仿宋" w:eastAsia="仿宋" w:cs="宋体"/>
          <w:b/>
          <w:bCs/>
          <w:color w:val="auto"/>
          <w:sz w:val="28"/>
          <w:szCs w:val="28"/>
        </w:rPr>
        <w:t>预算绩效管理意识薄弱，镇街绩效管理参差不齐</w:t>
      </w:r>
    </w:p>
    <w:p>
      <w:pPr>
        <w:pStyle w:val="119"/>
        <w:shd w:val="clear" w:color="auto" w:fill="FFFFFF"/>
        <w:adjustRightInd w:val="0"/>
        <w:snapToGrid w:val="0"/>
        <w:spacing w:before="0" w:beforeAutospacing="0" w:after="0" w:afterAutospacing="0" w:line="520" w:lineRule="exact"/>
        <w:ind w:firstLine="560" w:firstLineChars="200"/>
        <w:jc w:val="both"/>
        <w:rPr>
          <w:rFonts w:hint="eastAsia" w:ascii="仿宋" w:hAnsi="仿宋" w:eastAsia="仿宋"/>
          <w:sz w:val="28"/>
          <w:szCs w:val="28"/>
        </w:rPr>
      </w:pPr>
      <w:r>
        <w:rPr>
          <w:rFonts w:hint="eastAsia" w:ascii="仿宋" w:hAnsi="仿宋" w:eastAsia="仿宋"/>
          <w:sz w:val="28"/>
          <w:szCs w:val="28"/>
        </w:rPr>
        <w:t>一是预算绩效管理制度未建立。绩效管理意识较薄弱，该项目使用的债券资金涉及到的6个街镇中，部分街镇并未进行绩效自评，未制定统一的预算管理制度或未执行。如：部分镇街预算绩效目标表中项目信息填报不完整， “立项情况”等内容未填写；对目标的表述过于笼统，有提供绩效自评报告的质量亦不高，绩效指标的设置不够全面。</w:t>
      </w:r>
    </w:p>
    <w:p>
      <w:pPr>
        <w:spacing w:line="520" w:lineRule="exact"/>
        <w:ind w:firstLine="562" w:firstLineChars="200"/>
        <w:jc w:val="both"/>
        <w:rPr>
          <w:rFonts w:hint="eastAsia" w:ascii="仿宋" w:hAnsi="仿宋" w:eastAsia="仿宋" w:cs="宋体"/>
          <w:b/>
          <w:bCs/>
          <w:color w:val="auto"/>
          <w:sz w:val="28"/>
          <w:szCs w:val="28"/>
        </w:rPr>
      </w:pPr>
      <w:r>
        <w:rPr>
          <w:rFonts w:hint="eastAsia" w:ascii="仿宋" w:hAnsi="仿宋" w:eastAsia="仿宋" w:cs="宋体"/>
          <w:b/>
          <w:bCs/>
          <w:color w:val="auto"/>
          <w:sz w:val="28"/>
          <w:szCs w:val="28"/>
        </w:rPr>
        <w:t>2.</w:t>
      </w:r>
      <w:r>
        <w:rPr>
          <w:rFonts w:hint="eastAsia"/>
        </w:rPr>
        <w:t xml:space="preserve"> </w:t>
      </w:r>
      <w:r>
        <w:rPr>
          <w:rFonts w:hint="eastAsia" w:ascii="仿宋" w:hAnsi="仿宋" w:eastAsia="仿宋" w:cs="宋体"/>
          <w:b/>
          <w:bCs/>
          <w:color w:val="auto"/>
          <w:sz w:val="28"/>
          <w:szCs w:val="28"/>
        </w:rPr>
        <w:t>债券收益测算过于理想，存在一定偿债风险</w:t>
      </w:r>
    </w:p>
    <w:p>
      <w:pPr>
        <w:spacing w:line="520" w:lineRule="exact"/>
        <w:ind w:firstLine="560" w:firstLineChars="200"/>
        <w:jc w:val="both"/>
        <w:rPr>
          <w:rFonts w:hint="eastAsia" w:ascii="仿宋" w:hAnsi="仿宋" w:eastAsia="仿宋" w:cs="宋体"/>
          <w:color w:val="auto"/>
          <w:sz w:val="28"/>
          <w:szCs w:val="28"/>
        </w:rPr>
      </w:pPr>
      <w:r>
        <w:rPr>
          <w:rFonts w:ascii="仿宋" w:hAnsi="仿宋" w:eastAsia="仿宋" w:cs="宋体"/>
          <w:color w:val="auto"/>
          <w:sz w:val="28"/>
          <w:szCs w:val="28"/>
        </w:rPr>
        <w:t>项目全生命周期的预期收益与融资规模匹配情况</w:t>
      </w:r>
      <w:r>
        <w:rPr>
          <w:rFonts w:hint="eastAsia" w:ascii="仿宋" w:hAnsi="仿宋" w:eastAsia="仿宋" w:cs="宋体"/>
          <w:color w:val="auto"/>
          <w:sz w:val="28"/>
          <w:szCs w:val="28"/>
        </w:rPr>
        <w:t>存在问题</w:t>
      </w:r>
      <w:r>
        <w:rPr>
          <w:rFonts w:ascii="仿宋" w:hAnsi="仿宋" w:eastAsia="仿宋" w:cs="宋体"/>
          <w:color w:val="auto"/>
          <w:sz w:val="28"/>
          <w:szCs w:val="28"/>
        </w:rPr>
        <w:t>，具体表现为对收益预测时可能采用了简化的模型或乐观的假设条件，没有充分考虑市场波动、政策变化、竞争加剧等不确定因素对项目收益的影响</w:t>
      </w:r>
      <w:r>
        <w:rPr>
          <w:rFonts w:hint="eastAsia" w:ascii="仿宋" w:hAnsi="仿宋" w:eastAsia="仿宋" w:cs="宋体"/>
          <w:color w:val="auto"/>
          <w:sz w:val="28"/>
          <w:szCs w:val="28"/>
        </w:rPr>
        <w:t>。其次</w:t>
      </w:r>
      <w:r>
        <w:rPr>
          <w:rFonts w:ascii="仿宋" w:hAnsi="仿宋" w:eastAsia="仿宋" w:cs="宋体"/>
          <w:color w:val="auto"/>
          <w:sz w:val="28"/>
          <w:szCs w:val="28"/>
        </w:rPr>
        <w:t>实际使用债券资金规模发生变更后没有重新制定本息还款计划，且没有制定具体、科学可执行的风险防控预案</w:t>
      </w:r>
      <w:r>
        <w:rPr>
          <w:rFonts w:hint="eastAsia" w:ascii="仿宋" w:hAnsi="仿宋" w:eastAsia="仿宋" w:cs="宋体"/>
          <w:color w:val="auto"/>
          <w:sz w:val="28"/>
          <w:szCs w:val="28"/>
        </w:rPr>
        <w:t>这都导致后期存在一定的偿债风险。</w:t>
      </w:r>
    </w:p>
    <w:p>
      <w:pPr>
        <w:spacing w:line="520" w:lineRule="exact"/>
        <w:ind w:firstLine="562" w:firstLineChars="200"/>
        <w:jc w:val="both"/>
        <w:rPr>
          <w:rFonts w:hint="eastAsia" w:ascii="仿宋" w:hAnsi="仿宋" w:eastAsia="仿宋" w:cs="宋体"/>
          <w:b/>
          <w:bCs/>
          <w:color w:val="auto"/>
          <w:sz w:val="28"/>
          <w:szCs w:val="28"/>
        </w:rPr>
      </w:pPr>
      <w:r>
        <w:rPr>
          <w:rFonts w:hint="eastAsia" w:ascii="仿宋" w:hAnsi="仿宋" w:eastAsia="仿宋" w:cs="宋体"/>
          <w:b/>
          <w:bCs/>
          <w:color w:val="auto"/>
          <w:sz w:val="28"/>
          <w:szCs w:val="28"/>
        </w:rPr>
        <w:t>3．档案管理有待加强</w:t>
      </w:r>
    </w:p>
    <w:p>
      <w:pPr>
        <w:spacing w:line="520" w:lineRule="exact"/>
        <w:ind w:firstLine="560" w:firstLineChars="200"/>
        <w:jc w:val="both"/>
        <w:rPr>
          <w:rFonts w:hint="eastAsia" w:ascii="仿宋" w:hAnsi="仿宋" w:eastAsia="仿宋" w:cs="宋体"/>
          <w:color w:val="auto"/>
          <w:sz w:val="28"/>
          <w:szCs w:val="28"/>
        </w:rPr>
      </w:pPr>
      <w:r>
        <w:rPr>
          <w:rFonts w:ascii="仿宋" w:hAnsi="仿宋" w:eastAsia="仿宋" w:cs="宋体"/>
          <w:color w:val="auto"/>
          <w:sz w:val="28"/>
          <w:szCs w:val="28"/>
        </w:rPr>
        <w:t>在项目绩效评价过程中，发现项目资料不全成为影响绩效评价的重要问题，</w:t>
      </w:r>
      <w:r>
        <w:rPr>
          <w:rFonts w:hint="eastAsia" w:ascii="仿宋" w:hAnsi="仿宋" w:eastAsia="仿宋" w:cs="宋体"/>
          <w:color w:val="auto"/>
          <w:sz w:val="28"/>
          <w:szCs w:val="28"/>
        </w:rPr>
        <w:t>无法根据相关资料判断程序执行的有效性。可能由于项目实施过程中</w:t>
      </w:r>
      <w:r>
        <w:rPr>
          <w:rFonts w:ascii="仿宋" w:hAnsi="仿宋" w:eastAsia="仿宋" w:cs="宋体"/>
          <w:color w:val="auto"/>
          <w:sz w:val="28"/>
          <w:szCs w:val="28"/>
        </w:rPr>
        <w:t>未能全面收集与项目相关的各类资料，如合同、验收报告</w:t>
      </w:r>
      <w:r>
        <w:rPr>
          <w:rFonts w:hint="eastAsia" w:ascii="仿宋" w:hAnsi="仿宋" w:eastAsia="仿宋" w:cs="宋体"/>
          <w:color w:val="auto"/>
          <w:sz w:val="28"/>
          <w:szCs w:val="28"/>
        </w:rPr>
        <w:t>等，也可能是缺乏专门的档案管理人员或档案管理职责不明确。这反映出项目负责单位可能对档案管理的重视程度不够，没有充分认识到档案管理对项目绩效评价和项目后续管理的重要性。</w:t>
      </w:r>
    </w:p>
    <w:p>
      <w:pPr>
        <w:spacing w:line="520" w:lineRule="exact"/>
        <w:ind w:firstLine="560" w:firstLineChars="200"/>
        <w:jc w:val="both"/>
        <w:outlineLvl w:val="1"/>
        <w:rPr>
          <w:rFonts w:hint="eastAsia" w:ascii="楷体" w:hAnsi="楷体" w:eastAsia="楷体" w:cs="楷体"/>
          <w:color w:val="auto"/>
          <w:sz w:val="28"/>
          <w:szCs w:val="28"/>
        </w:rPr>
      </w:pPr>
      <w:bookmarkStart w:id="91" w:name="_Toc18225"/>
      <w:bookmarkStart w:id="92" w:name="_Toc18818"/>
      <w:bookmarkStart w:id="93" w:name="_Toc186450530"/>
      <w:bookmarkStart w:id="94" w:name="_Toc2846"/>
      <w:r>
        <w:rPr>
          <w:rFonts w:hint="eastAsia" w:ascii="楷体" w:hAnsi="楷体" w:eastAsia="楷体" w:cs="楷体"/>
          <w:color w:val="auto"/>
          <w:sz w:val="28"/>
          <w:szCs w:val="28"/>
        </w:rPr>
        <w:t>（二）改进措施和建议</w:t>
      </w:r>
      <w:bookmarkEnd w:id="91"/>
      <w:bookmarkEnd w:id="92"/>
      <w:bookmarkEnd w:id="93"/>
      <w:bookmarkEnd w:id="94"/>
    </w:p>
    <w:p>
      <w:pPr>
        <w:spacing w:line="520" w:lineRule="exact"/>
        <w:ind w:firstLine="562" w:firstLineChars="200"/>
        <w:jc w:val="both"/>
        <w:rPr>
          <w:rFonts w:hint="eastAsia" w:ascii="仿宋" w:hAnsi="仿宋" w:eastAsia="仿宋" w:cs="宋体"/>
          <w:b/>
          <w:bCs/>
          <w:color w:val="auto"/>
          <w:sz w:val="28"/>
          <w:szCs w:val="28"/>
        </w:rPr>
      </w:pPr>
      <w:r>
        <w:rPr>
          <w:rFonts w:hint="eastAsia" w:ascii="仿宋" w:hAnsi="仿宋" w:eastAsia="仿宋" w:cs="宋体"/>
          <w:b/>
          <w:bCs/>
          <w:color w:val="auto"/>
          <w:sz w:val="28"/>
          <w:szCs w:val="28"/>
        </w:rPr>
        <w:t>1．</w:t>
      </w:r>
      <w:r>
        <w:rPr>
          <w:rFonts w:ascii="仿宋" w:hAnsi="仿宋" w:eastAsia="仿宋" w:cs="宋体"/>
          <w:b/>
          <w:bCs/>
          <w:color w:val="auto"/>
          <w:sz w:val="28"/>
          <w:szCs w:val="28"/>
        </w:rPr>
        <w:t>强化预算绩效管理意识与能力建设</w:t>
      </w:r>
    </w:p>
    <w:p>
      <w:pPr>
        <w:pStyle w:val="119"/>
        <w:shd w:val="clear" w:color="auto" w:fill="FFFFFF"/>
        <w:adjustRightInd w:val="0"/>
        <w:snapToGrid w:val="0"/>
        <w:spacing w:before="0" w:beforeAutospacing="0" w:after="0" w:afterAutospacing="0" w:line="520" w:lineRule="exact"/>
        <w:ind w:firstLine="560" w:firstLineChars="200"/>
        <w:jc w:val="both"/>
        <w:rPr>
          <w:rFonts w:hint="eastAsia" w:ascii="仿宋" w:hAnsi="仿宋" w:eastAsia="仿宋"/>
          <w:sz w:val="28"/>
          <w:szCs w:val="28"/>
        </w:rPr>
      </w:pPr>
      <w:r>
        <w:rPr>
          <w:rFonts w:ascii="仿宋" w:hAnsi="仿宋" w:eastAsia="仿宋"/>
          <w:sz w:val="28"/>
          <w:szCs w:val="28"/>
        </w:rPr>
        <w:t>建立并完善预算绩效管理制度、加强绩效管理培训、强化监督与指导</w:t>
      </w:r>
      <w:r>
        <w:rPr>
          <w:rFonts w:hint="eastAsia" w:ascii="仿宋" w:hAnsi="仿宋" w:eastAsia="仿宋"/>
          <w:sz w:val="28"/>
          <w:szCs w:val="28"/>
        </w:rPr>
        <w:t>等</w:t>
      </w:r>
      <w:r>
        <w:rPr>
          <w:rFonts w:ascii="仿宋" w:hAnsi="仿宋" w:eastAsia="仿宋"/>
          <w:sz w:val="28"/>
          <w:szCs w:val="28"/>
        </w:rPr>
        <w:t>。从制度层面出发，制定统一的预算绩效管理制度，明确各级街镇的绩效管理职责和要求。制度应涵盖绩效目标的设定、绩效自评的开展、绩效指标的设置等关键环节</w:t>
      </w:r>
      <w:r>
        <w:rPr>
          <w:rFonts w:hint="eastAsia" w:ascii="仿宋" w:hAnsi="仿宋" w:eastAsia="仿宋"/>
          <w:sz w:val="28"/>
          <w:szCs w:val="28"/>
        </w:rPr>
        <w:t>。仓山区卫生健康局还应</w:t>
      </w:r>
      <w:r>
        <w:rPr>
          <w:rFonts w:ascii="仿宋" w:hAnsi="仿宋" w:eastAsia="仿宋"/>
          <w:sz w:val="28"/>
          <w:szCs w:val="28"/>
        </w:rPr>
        <w:t>组织针对镇街预算绩效管理人员的专题培训，提升其对绩效管理的认识和理解，增强绩效管理意识。培训内容应包括绩效管理的基本概念、方法、技巧和案例分析等</w:t>
      </w:r>
      <w:r>
        <w:rPr>
          <w:rFonts w:hint="eastAsia" w:ascii="仿宋" w:hAnsi="仿宋" w:eastAsia="仿宋"/>
          <w:sz w:val="28"/>
          <w:szCs w:val="28"/>
        </w:rPr>
        <w:t>，最后上</w:t>
      </w:r>
      <w:r>
        <w:rPr>
          <w:rFonts w:ascii="仿宋" w:hAnsi="仿宋" w:eastAsia="仿宋"/>
          <w:sz w:val="28"/>
          <w:szCs w:val="28"/>
        </w:rPr>
        <w:t>级主管部门应加强对镇街预算绩效管理工作的监督和指导，及时发现和纠正存在的问题，推动镇街绩效管理水平的提升</w:t>
      </w:r>
      <w:r>
        <w:rPr>
          <w:rFonts w:hint="eastAsia" w:ascii="仿宋" w:hAnsi="仿宋" w:eastAsia="仿宋"/>
          <w:sz w:val="28"/>
          <w:szCs w:val="28"/>
        </w:rPr>
        <w:t>。</w:t>
      </w:r>
    </w:p>
    <w:p>
      <w:pPr>
        <w:spacing w:line="520" w:lineRule="exact"/>
        <w:ind w:firstLine="562" w:firstLineChars="200"/>
        <w:jc w:val="both"/>
        <w:rPr>
          <w:rFonts w:hint="eastAsia" w:ascii="仿宋" w:hAnsi="仿宋" w:eastAsia="仿宋" w:cs="宋体"/>
          <w:b/>
          <w:bCs/>
          <w:color w:val="auto"/>
          <w:sz w:val="28"/>
          <w:szCs w:val="28"/>
        </w:rPr>
      </w:pPr>
      <w:r>
        <w:rPr>
          <w:rFonts w:hint="eastAsia" w:ascii="仿宋" w:hAnsi="仿宋" w:eastAsia="仿宋" w:cs="宋体"/>
          <w:b/>
          <w:bCs/>
          <w:color w:val="auto"/>
          <w:sz w:val="28"/>
          <w:szCs w:val="28"/>
        </w:rPr>
        <w:t>2．</w:t>
      </w:r>
      <w:r>
        <w:rPr>
          <w:rFonts w:ascii="仿宋" w:hAnsi="仿宋" w:eastAsia="仿宋" w:cs="宋体"/>
          <w:b/>
          <w:bCs/>
          <w:color w:val="auto"/>
          <w:sz w:val="28"/>
          <w:szCs w:val="28"/>
        </w:rPr>
        <w:t>优化债券收益预测与风险防控机制</w:t>
      </w:r>
    </w:p>
    <w:p>
      <w:pPr>
        <w:spacing w:line="520" w:lineRule="exact"/>
        <w:ind w:firstLine="560" w:firstLineChars="200"/>
        <w:jc w:val="both"/>
        <w:rPr>
          <w:rFonts w:hint="eastAsia" w:ascii="仿宋" w:hAnsi="仿宋" w:eastAsia="仿宋" w:cs="宋体"/>
          <w:color w:val="auto"/>
          <w:sz w:val="28"/>
          <w:szCs w:val="28"/>
        </w:rPr>
      </w:pPr>
      <w:r>
        <w:rPr>
          <w:rFonts w:hint="eastAsia" w:ascii="仿宋" w:hAnsi="仿宋" w:eastAsia="仿宋" w:cs="宋体"/>
          <w:color w:val="auto"/>
          <w:sz w:val="28"/>
          <w:szCs w:val="28"/>
          <w:lang w:eastAsia="zh-CN"/>
        </w:rPr>
        <w:t>事前</w:t>
      </w:r>
      <w:r>
        <w:rPr>
          <w:rFonts w:hint="eastAsia" w:ascii="仿宋" w:hAnsi="仿宋" w:eastAsia="仿宋" w:cs="宋体"/>
          <w:color w:val="auto"/>
          <w:sz w:val="28"/>
          <w:szCs w:val="28"/>
        </w:rPr>
        <w:t>对资金偿还做好精准策划，如采用</w:t>
      </w:r>
      <w:r>
        <w:rPr>
          <w:rFonts w:ascii="仿宋" w:hAnsi="仿宋" w:eastAsia="仿宋" w:cs="宋体"/>
          <w:color w:val="auto"/>
          <w:sz w:val="28"/>
          <w:szCs w:val="28"/>
        </w:rPr>
        <w:t>更加科学、合理的收益预测模型，充分考虑市场波动、政策变化等不确定因素对项目收益的影响，提高收益预测的准确性</w:t>
      </w:r>
      <w:r>
        <w:rPr>
          <w:rFonts w:hint="eastAsia" w:ascii="仿宋" w:hAnsi="仿宋" w:eastAsia="仿宋" w:cs="宋体"/>
          <w:color w:val="auto"/>
          <w:sz w:val="28"/>
          <w:szCs w:val="28"/>
        </w:rPr>
        <w:t>。</w:t>
      </w:r>
      <w:r>
        <w:rPr>
          <w:rFonts w:ascii="仿宋" w:hAnsi="仿宋" w:eastAsia="仿宋" w:cs="宋体"/>
          <w:color w:val="auto"/>
          <w:sz w:val="28"/>
          <w:szCs w:val="28"/>
        </w:rPr>
        <w:t>建立债券偿债风险预警机制，当实际使用债券资金规模发生变更时，及时重新制定本息还款计划，并制定具体、科学可执行的风险防控预案，确保项目能够按时还本付息</w:t>
      </w:r>
      <w:r>
        <w:rPr>
          <w:rFonts w:hint="eastAsia" w:ascii="仿宋" w:hAnsi="仿宋" w:eastAsia="仿宋" w:cs="宋体"/>
          <w:color w:val="auto"/>
          <w:sz w:val="28"/>
          <w:szCs w:val="28"/>
        </w:rPr>
        <w:t>。</w:t>
      </w:r>
    </w:p>
    <w:p>
      <w:pPr>
        <w:spacing w:line="520" w:lineRule="exact"/>
        <w:ind w:firstLine="562" w:firstLineChars="200"/>
        <w:jc w:val="both"/>
        <w:rPr>
          <w:rFonts w:hint="eastAsia" w:ascii="仿宋" w:hAnsi="仿宋" w:eastAsia="仿宋" w:cs="宋体"/>
          <w:b/>
          <w:bCs/>
          <w:color w:val="auto"/>
          <w:sz w:val="28"/>
          <w:szCs w:val="28"/>
        </w:rPr>
      </w:pPr>
      <w:r>
        <w:rPr>
          <w:rFonts w:hint="eastAsia" w:ascii="仿宋" w:hAnsi="仿宋" w:eastAsia="仿宋" w:cs="宋体"/>
          <w:b/>
          <w:bCs/>
          <w:color w:val="auto"/>
          <w:sz w:val="28"/>
          <w:szCs w:val="28"/>
        </w:rPr>
        <w:t>3．</w:t>
      </w:r>
      <w:r>
        <w:rPr>
          <w:rFonts w:ascii="仿宋" w:hAnsi="仿宋" w:eastAsia="仿宋" w:cs="宋体"/>
          <w:b/>
          <w:bCs/>
          <w:color w:val="auto"/>
          <w:sz w:val="28"/>
          <w:szCs w:val="28"/>
        </w:rPr>
        <w:t>全面加强项目档案管理与信息化建设</w:t>
      </w:r>
    </w:p>
    <w:p>
      <w:pPr>
        <w:spacing w:line="520" w:lineRule="exact"/>
        <w:ind w:firstLine="560" w:firstLineChars="200"/>
        <w:jc w:val="both"/>
        <w:rPr>
          <w:rFonts w:hint="eastAsia" w:ascii="仿宋" w:hAnsi="仿宋" w:eastAsia="仿宋" w:cs="宋体"/>
          <w:color w:val="auto"/>
          <w:sz w:val="28"/>
          <w:szCs w:val="28"/>
        </w:rPr>
      </w:pPr>
      <w:r>
        <w:rPr>
          <w:rFonts w:ascii="仿宋" w:hAnsi="仿宋" w:eastAsia="仿宋" w:cs="宋体"/>
          <w:color w:val="auto"/>
          <w:sz w:val="28"/>
          <w:szCs w:val="28"/>
        </w:rPr>
        <w:t>完善档案管理制度，明确档案管理的职责、流程和要求，确保项目资料的全面、准确和及时归档</w:t>
      </w:r>
      <w:r>
        <w:rPr>
          <w:rFonts w:hint="eastAsia" w:ascii="仿宋" w:hAnsi="仿宋" w:eastAsia="仿宋" w:cs="宋体"/>
          <w:color w:val="auto"/>
          <w:sz w:val="28"/>
          <w:szCs w:val="28"/>
        </w:rPr>
        <w:t>。在明确档案管理人员职责后，</w:t>
      </w:r>
      <w:r>
        <w:rPr>
          <w:rFonts w:ascii="仿宋" w:hAnsi="仿宋" w:eastAsia="仿宋" w:cs="宋体"/>
          <w:color w:val="auto"/>
          <w:sz w:val="28"/>
          <w:szCs w:val="28"/>
        </w:rPr>
        <w:t>提高其档案管理能力和素质，确保档案管理的规范性和有效性</w:t>
      </w:r>
      <w:r>
        <w:rPr>
          <w:rFonts w:hint="eastAsia" w:ascii="仿宋" w:hAnsi="仿宋" w:eastAsia="仿宋" w:cs="宋体"/>
          <w:color w:val="auto"/>
          <w:sz w:val="28"/>
          <w:szCs w:val="28"/>
        </w:rPr>
        <w:t>。还可以</w:t>
      </w:r>
      <w:r>
        <w:rPr>
          <w:rFonts w:ascii="仿宋" w:hAnsi="仿宋" w:eastAsia="仿宋" w:cs="宋体"/>
          <w:color w:val="auto"/>
          <w:sz w:val="28"/>
          <w:szCs w:val="28"/>
        </w:rPr>
        <w:t>利用信息化手段提升档案管理水平，建立电子档案管理系统，实现档案的数字化存储和远程访问，提高档案查询、检索和共享的效率</w:t>
      </w:r>
      <w:r>
        <w:rPr>
          <w:rFonts w:hint="eastAsia" w:ascii="仿宋" w:hAnsi="仿宋" w:eastAsia="仿宋" w:cs="宋体"/>
          <w:color w:val="auto"/>
          <w:sz w:val="28"/>
          <w:szCs w:val="28"/>
        </w:rPr>
        <w:t>。</w:t>
      </w:r>
    </w:p>
    <w:p>
      <w:pPr>
        <w:pStyle w:val="32"/>
        <w:spacing w:beforeAutospacing="0" w:afterAutospacing="0" w:line="360" w:lineRule="auto"/>
        <w:jc w:val="both"/>
        <w:rPr>
          <w:rFonts w:hint="eastAsia" w:ascii="仿宋" w:hAnsi="仿宋" w:eastAsia="仿宋"/>
          <w:color w:val="auto"/>
          <w:kern w:val="2"/>
          <w:sz w:val="21"/>
        </w:rPr>
      </w:pPr>
    </w:p>
    <w:p>
      <w:pPr>
        <w:pStyle w:val="32"/>
        <w:spacing w:beforeAutospacing="0" w:afterAutospacing="0" w:line="360" w:lineRule="auto"/>
        <w:jc w:val="both"/>
        <w:rPr>
          <w:rFonts w:hint="eastAsia" w:ascii="仿宋" w:hAnsi="仿宋" w:eastAsia="仿宋"/>
          <w:color w:val="auto"/>
          <w:kern w:val="2"/>
          <w:sz w:val="21"/>
        </w:rPr>
      </w:pPr>
    </w:p>
    <w:p>
      <w:pPr>
        <w:pStyle w:val="32"/>
        <w:spacing w:beforeAutospacing="0" w:afterAutospacing="0" w:line="360" w:lineRule="auto"/>
        <w:jc w:val="both"/>
        <w:rPr>
          <w:rFonts w:hint="eastAsia" w:ascii="仿宋" w:hAnsi="仿宋" w:eastAsia="仿宋"/>
          <w:color w:val="auto"/>
          <w:kern w:val="2"/>
          <w:sz w:val="21"/>
        </w:rPr>
      </w:pPr>
    </w:p>
    <w:p>
      <w:pPr>
        <w:pStyle w:val="32"/>
        <w:spacing w:beforeAutospacing="0" w:afterAutospacing="0" w:line="360" w:lineRule="auto"/>
        <w:jc w:val="both"/>
        <w:rPr>
          <w:rFonts w:hint="eastAsia" w:ascii="仿宋" w:hAnsi="仿宋" w:eastAsia="仿宋"/>
          <w:color w:val="auto"/>
          <w:kern w:val="2"/>
          <w:sz w:val="21"/>
        </w:rPr>
      </w:pPr>
    </w:p>
    <w:p>
      <w:pPr>
        <w:pStyle w:val="32"/>
        <w:spacing w:beforeAutospacing="0" w:afterAutospacing="0" w:line="360" w:lineRule="auto"/>
        <w:jc w:val="both"/>
        <w:rPr>
          <w:rFonts w:hint="eastAsia" w:ascii="仿宋" w:hAnsi="仿宋" w:eastAsia="仿宋"/>
          <w:color w:val="auto"/>
          <w:kern w:val="2"/>
          <w:sz w:val="21"/>
        </w:rPr>
      </w:pPr>
    </w:p>
    <w:p>
      <w:pPr>
        <w:pStyle w:val="32"/>
        <w:spacing w:beforeAutospacing="0" w:afterAutospacing="0" w:line="360" w:lineRule="auto"/>
        <w:jc w:val="both"/>
        <w:rPr>
          <w:rFonts w:hint="eastAsia" w:ascii="仿宋" w:hAnsi="仿宋" w:eastAsia="仿宋"/>
          <w:color w:val="auto"/>
          <w:kern w:val="2"/>
          <w:sz w:val="21"/>
        </w:rPr>
      </w:pPr>
    </w:p>
    <w:p>
      <w:pPr>
        <w:pStyle w:val="32"/>
        <w:spacing w:beforeAutospacing="0" w:afterAutospacing="0" w:line="360" w:lineRule="auto"/>
        <w:jc w:val="both"/>
        <w:rPr>
          <w:rFonts w:hint="eastAsia" w:ascii="仿宋" w:hAnsi="仿宋" w:eastAsia="仿宋"/>
          <w:color w:val="auto"/>
          <w:kern w:val="2"/>
          <w:sz w:val="21"/>
        </w:rPr>
      </w:pPr>
    </w:p>
    <w:p>
      <w:pPr>
        <w:pStyle w:val="32"/>
        <w:spacing w:beforeAutospacing="0" w:afterAutospacing="0" w:line="360" w:lineRule="auto"/>
        <w:jc w:val="both"/>
        <w:rPr>
          <w:rFonts w:hint="eastAsia" w:ascii="仿宋" w:hAnsi="仿宋" w:eastAsia="仿宋"/>
          <w:color w:val="auto"/>
          <w:kern w:val="2"/>
          <w:sz w:val="21"/>
        </w:rPr>
      </w:pPr>
    </w:p>
    <w:p>
      <w:pPr>
        <w:pStyle w:val="32"/>
        <w:spacing w:beforeAutospacing="0" w:afterAutospacing="0" w:line="360" w:lineRule="auto"/>
        <w:jc w:val="both"/>
        <w:rPr>
          <w:rFonts w:hint="eastAsia" w:ascii="仿宋" w:hAnsi="仿宋" w:eastAsia="仿宋"/>
          <w:color w:val="auto"/>
          <w:kern w:val="2"/>
          <w:sz w:val="21"/>
        </w:rPr>
      </w:pPr>
    </w:p>
    <w:p>
      <w:pPr>
        <w:pStyle w:val="32"/>
        <w:spacing w:beforeAutospacing="0" w:afterAutospacing="0" w:line="360" w:lineRule="auto"/>
        <w:jc w:val="both"/>
        <w:rPr>
          <w:rFonts w:hint="eastAsia" w:ascii="仿宋" w:hAnsi="仿宋" w:eastAsia="仿宋"/>
          <w:color w:val="auto"/>
          <w:kern w:val="2"/>
          <w:sz w:val="21"/>
        </w:rPr>
      </w:pPr>
    </w:p>
    <w:p>
      <w:pPr>
        <w:pStyle w:val="32"/>
        <w:spacing w:beforeAutospacing="0" w:afterAutospacing="0" w:line="360" w:lineRule="auto"/>
        <w:jc w:val="both"/>
        <w:rPr>
          <w:rFonts w:hint="eastAsia" w:ascii="仿宋" w:hAnsi="仿宋" w:eastAsia="仿宋"/>
          <w:color w:val="auto"/>
          <w:kern w:val="2"/>
          <w:sz w:val="21"/>
        </w:rPr>
      </w:pPr>
    </w:p>
    <w:p>
      <w:pPr>
        <w:pStyle w:val="32"/>
        <w:spacing w:beforeAutospacing="0" w:afterAutospacing="0" w:line="360" w:lineRule="auto"/>
        <w:jc w:val="both"/>
        <w:rPr>
          <w:rFonts w:hint="eastAsia" w:ascii="仿宋" w:hAnsi="仿宋" w:eastAsia="仿宋"/>
          <w:color w:val="auto"/>
          <w:kern w:val="2"/>
          <w:sz w:val="21"/>
        </w:rPr>
      </w:pPr>
    </w:p>
    <w:p>
      <w:pPr>
        <w:pStyle w:val="32"/>
        <w:spacing w:beforeAutospacing="0" w:afterAutospacing="0" w:line="360" w:lineRule="auto"/>
        <w:jc w:val="both"/>
        <w:rPr>
          <w:rFonts w:hint="eastAsia" w:ascii="仿宋" w:hAnsi="仿宋" w:eastAsia="仿宋"/>
          <w:color w:val="auto"/>
          <w:kern w:val="2"/>
          <w:sz w:val="21"/>
        </w:rPr>
      </w:pPr>
    </w:p>
    <w:p>
      <w:pPr>
        <w:pStyle w:val="32"/>
        <w:spacing w:beforeAutospacing="0" w:afterAutospacing="0" w:line="360" w:lineRule="auto"/>
        <w:jc w:val="both"/>
        <w:rPr>
          <w:rFonts w:hint="eastAsia" w:ascii="仿宋" w:hAnsi="仿宋" w:eastAsia="仿宋"/>
          <w:color w:val="auto"/>
          <w:kern w:val="2"/>
          <w:sz w:val="21"/>
        </w:rPr>
      </w:pPr>
    </w:p>
    <w:p>
      <w:pPr>
        <w:pStyle w:val="32"/>
        <w:spacing w:beforeAutospacing="0" w:afterAutospacing="0" w:line="360" w:lineRule="auto"/>
        <w:jc w:val="both"/>
        <w:rPr>
          <w:rFonts w:hint="eastAsia" w:ascii="仿宋" w:hAnsi="仿宋" w:eastAsia="仿宋"/>
          <w:color w:val="auto"/>
          <w:kern w:val="2"/>
          <w:sz w:val="21"/>
        </w:rPr>
      </w:pPr>
    </w:p>
    <w:p>
      <w:pPr>
        <w:pStyle w:val="32"/>
        <w:spacing w:beforeAutospacing="0" w:afterAutospacing="0" w:line="360" w:lineRule="auto"/>
        <w:jc w:val="both"/>
        <w:rPr>
          <w:rFonts w:hint="eastAsia" w:ascii="仿宋" w:hAnsi="仿宋" w:eastAsia="仿宋"/>
          <w:color w:val="auto"/>
          <w:kern w:val="2"/>
          <w:sz w:val="21"/>
        </w:rPr>
      </w:pPr>
    </w:p>
    <w:p>
      <w:pPr>
        <w:pStyle w:val="32"/>
        <w:spacing w:beforeAutospacing="0" w:afterAutospacing="0" w:line="360" w:lineRule="auto"/>
        <w:jc w:val="both"/>
        <w:rPr>
          <w:rFonts w:hint="eastAsia" w:ascii="仿宋" w:hAnsi="仿宋" w:eastAsia="仿宋"/>
          <w:color w:val="auto"/>
          <w:kern w:val="2"/>
          <w:sz w:val="21"/>
        </w:rPr>
      </w:pPr>
    </w:p>
    <w:p>
      <w:pPr>
        <w:pStyle w:val="32"/>
        <w:spacing w:beforeAutospacing="0" w:afterAutospacing="0" w:line="360" w:lineRule="auto"/>
        <w:jc w:val="both"/>
        <w:rPr>
          <w:rFonts w:hint="eastAsia" w:ascii="仿宋" w:hAnsi="仿宋" w:eastAsia="仿宋"/>
          <w:color w:val="auto"/>
          <w:kern w:val="2"/>
          <w:sz w:val="21"/>
        </w:rPr>
      </w:pPr>
    </w:p>
    <w:p>
      <w:pPr>
        <w:pStyle w:val="32"/>
        <w:spacing w:beforeAutospacing="0" w:afterAutospacing="0" w:line="360" w:lineRule="auto"/>
        <w:jc w:val="both"/>
        <w:rPr>
          <w:rFonts w:hint="eastAsia" w:ascii="仿宋" w:hAnsi="仿宋" w:eastAsia="仿宋"/>
          <w:color w:val="auto"/>
          <w:kern w:val="2"/>
          <w:sz w:val="21"/>
        </w:rPr>
      </w:pPr>
    </w:p>
    <w:p>
      <w:pPr>
        <w:pStyle w:val="32"/>
        <w:spacing w:beforeAutospacing="0" w:afterAutospacing="0" w:line="360" w:lineRule="auto"/>
        <w:jc w:val="both"/>
        <w:rPr>
          <w:rFonts w:hint="eastAsia" w:ascii="仿宋" w:hAnsi="仿宋" w:eastAsia="仿宋"/>
          <w:color w:val="auto"/>
          <w:kern w:val="2"/>
          <w:sz w:val="21"/>
        </w:rPr>
      </w:pPr>
    </w:p>
    <w:p>
      <w:pPr>
        <w:pStyle w:val="35"/>
        <w:ind w:left="420" w:firstLine="560"/>
        <w:rPr>
          <w:rFonts w:hint="default"/>
        </w:rPr>
      </w:pPr>
      <w:bookmarkStart w:id="95" w:name="_Toc178272755"/>
    </w:p>
    <w:p>
      <w:pPr>
        <w:spacing w:line="360" w:lineRule="auto"/>
        <w:jc w:val="both"/>
        <w:outlineLvl w:val="0"/>
        <w:rPr>
          <w:rFonts w:hint="eastAsia" w:ascii="仿宋" w:hAnsi="仿宋" w:eastAsia="仿宋"/>
          <w:b/>
          <w:bCs/>
          <w:color w:val="auto"/>
          <w:kern w:val="2"/>
          <w:sz w:val="28"/>
          <w:szCs w:val="28"/>
        </w:rPr>
      </w:pPr>
      <w:bookmarkStart w:id="96" w:name="_Toc186450531"/>
    </w:p>
    <w:p>
      <w:pPr>
        <w:spacing w:line="360" w:lineRule="auto"/>
        <w:jc w:val="center"/>
        <w:outlineLvl w:val="0"/>
        <w:rPr>
          <w:rFonts w:hint="eastAsia" w:ascii="仿宋" w:hAnsi="仿宋" w:eastAsia="仿宋"/>
          <w:b/>
          <w:bCs/>
          <w:color w:val="auto"/>
          <w:kern w:val="2"/>
          <w:sz w:val="28"/>
          <w:szCs w:val="28"/>
        </w:rPr>
      </w:pPr>
      <w:r>
        <w:rPr>
          <w:rFonts w:hint="eastAsia" w:ascii="仿宋" w:hAnsi="仿宋" w:eastAsia="仿宋"/>
          <w:b/>
          <w:bCs/>
          <w:color w:val="auto"/>
          <w:kern w:val="2"/>
          <w:sz w:val="28"/>
          <w:szCs w:val="28"/>
        </w:rPr>
        <w:t>附件一：   2</w:t>
      </w:r>
      <w:bookmarkEnd w:id="95"/>
      <w:r>
        <w:rPr>
          <w:rFonts w:hint="eastAsia" w:ascii="仿宋" w:hAnsi="仿宋" w:eastAsia="仿宋"/>
          <w:b/>
          <w:bCs/>
          <w:color w:val="auto"/>
          <w:kern w:val="2"/>
          <w:sz w:val="28"/>
          <w:szCs w:val="28"/>
        </w:rPr>
        <w:t>023年度仓山区卫生健康服务能力提升项目（债券资金）</w:t>
      </w:r>
      <w:bookmarkEnd w:id="96"/>
    </w:p>
    <w:p>
      <w:pPr>
        <w:spacing w:line="360" w:lineRule="auto"/>
        <w:jc w:val="center"/>
        <w:rPr>
          <w:rFonts w:hint="eastAsia"/>
        </w:rPr>
      </w:pPr>
      <w:r>
        <w:rPr>
          <w:rFonts w:hint="eastAsia" w:ascii="仿宋" w:hAnsi="仿宋" w:eastAsia="仿宋"/>
          <w:b/>
          <w:bCs/>
          <w:color w:val="auto"/>
          <w:kern w:val="2"/>
          <w:sz w:val="28"/>
          <w:szCs w:val="28"/>
        </w:rPr>
        <w:t>支出绩效评价指标体系及得分表</w:t>
      </w:r>
    </w:p>
    <w:tbl>
      <w:tblPr>
        <w:tblStyle w:val="36"/>
        <w:tblW w:w="8409" w:type="dxa"/>
        <w:jc w:val="center"/>
        <w:tblLayout w:type="autofit"/>
        <w:tblCellMar>
          <w:top w:w="0" w:type="dxa"/>
          <w:left w:w="108" w:type="dxa"/>
          <w:bottom w:w="0" w:type="dxa"/>
          <w:right w:w="108" w:type="dxa"/>
        </w:tblCellMar>
      </w:tblPr>
      <w:tblGrid>
        <w:gridCol w:w="685"/>
        <w:gridCol w:w="846"/>
        <w:gridCol w:w="1071"/>
        <w:gridCol w:w="4914"/>
        <w:gridCol w:w="893"/>
      </w:tblGrid>
      <w:tr>
        <w:tblPrEx>
          <w:tblCellMar>
            <w:top w:w="0" w:type="dxa"/>
            <w:left w:w="108" w:type="dxa"/>
            <w:bottom w:w="0" w:type="dxa"/>
            <w:right w:w="108" w:type="dxa"/>
          </w:tblCellMar>
        </w:tblPrEx>
        <w:trPr>
          <w:trHeight w:val="360" w:hRule="atLeast"/>
          <w:jc w:val="center"/>
        </w:trPr>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b/>
                <w:bCs/>
              </w:rPr>
            </w:pPr>
            <w:r>
              <w:rPr>
                <w:rFonts w:hint="eastAsia" w:ascii="仿宋" w:hAnsi="仿宋" w:eastAsia="仿宋" w:cs="宋体"/>
                <w:b/>
                <w:bCs/>
              </w:rPr>
              <w:t>一级指标</w:t>
            </w:r>
          </w:p>
        </w:tc>
        <w:tc>
          <w:tcPr>
            <w:tcW w:w="846"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宋体"/>
                <w:b/>
                <w:bCs/>
              </w:rPr>
            </w:pPr>
            <w:r>
              <w:rPr>
                <w:rFonts w:hint="eastAsia" w:ascii="仿宋" w:hAnsi="仿宋" w:eastAsia="仿宋" w:cs="宋体"/>
                <w:b/>
                <w:bCs/>
              </w:rPr>
              <w:t>二级指标</w:t>
            </w:r>
          </w:p>
        </w:tc>
        <w:tc>
          <w:tcPr>
            <w:tcW w:w="107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宋体"/>
                <w:b/>
                <w:bCs/>
              </w:rPr>
            </w:pPr>
            <w:r>
              <w:rPr>
                <w:rFonts w:hint="eastAsia" w:ascii="仿宋" w:hAnsi="仿宋" w:eastAsia="仿宋" w:cs="宋体"/>
                <w:b/>
                <w:bCs/>
              </w:rPr>
              <w:t>三级指标</w:t>
            </w:r>
          </w:p>
        </w:tc>
        <w:tc>
          <w:tcPr>
            <w:tcW w:w="4914"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宋体"/>
                <w:b/>
                <w:bCs/>
              </w:rPr>
            </w:pPr>
            <w:r>
              <w:rPr>
                <w:rFonts w:hint="eastAsia" w:ascii="仿宋" w:hAnsi="仿宋" w:eastAsia="仿宋" w:cs="宋体"/>
                <w:b/>
                <w:bCs/>
              </w:rPr>
              <w:t>评分标准</w:t>
            </w:r>
          </w:p>
        </w:tc>
        <w:tc>
          <w:tcPr>
            <w:tcW w:w="893" w:type="dxa"/>
            <w:tcBorders>
              <w:top w:val="single" w:color="auto" w:sz="4" w:space="0"/>
              <w:left w:val="nil"/>
              <w:bottom w:val="single" w:color="auto" w:sz="4" w:space="0"/>
              <w:right w:val="single" w:color="auto" w:sz="4" w:space="0"/>
            </w:tcBorders>
          </w:tcPr>
          <w:p>
            <w:pPr>
              <w:jc w:val="center"/>
              <w:rPr>
                <w:rFonts w:hint="eastAsia" w:ascii="仿宋" w:hAnsi="仿宋" w:eastAsia="仿宋" w:cs="宋体"/>
                <w:b/>
                <w:bCs/>
              </w:rPr>
            </w:pPr>
            <w:r>
              <w:rPr>
                <w:rFonts w:hint="eastAsia" w:ascii="仿宋" w:hAnsi="仿宋" w:eastAsia="仿宋" w:cs="宋体"/>
                <w:b/>
                <w:bCs/>
              </w:rPr>
              <w:t>得分</w:t>
            </w:r>
          </w:p>
        </w:tc>
      </w:tr>
      <w:tr>
        <w:tblPrEx>
          <w:tblCellMar>
            <w:top w:w="0" w:type="dxa"/>
            <w:left w:w="108" w:type="dxa"/>
            <w:bottom w:w="0" w:type="dxa"/>
            <w:right w:w="108" w:type="dxa"/>
          </w:tblCellMar>
        </w:tblPrEx>
        <w:trPr>
          <w:trHeight w:val="1710" w:hRule="atLeast"/>
          <w:jc w:val="center"/>
        </w:trPr>
        <w:tc>
          <w:tcPr>
            <w:tcW w:w="685"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决策（15分）　</w:t>
            </w:r>
          </w:p>
        </w:tc>
        <w:tc>
          <w:tcPr>
            <w:tcW w:w="846"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项目决策（6分）　</w:t>
            </w:r>
          </w:p>
        </w:tc>
        <w:tc>
          <w:tcPr>
            <w:tcW w:w="1071"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决策依据充分性（4分）</w:t>
            </w:r>
          </w:p>
        </w:tc>
        <w:tc>
          <w:tcPr>
            <w:tcW w:w="4914"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要评价项目“急需、成熟、统筹、集中”的其他情况，包括但不限于以下要点：</w:t>
            </w:r>
          </w:p>
          <w:p>
            <w:pPr>
              <w:rPr>
                <w:rFonts w:hint="eastAsia" w:ascii="仿宋" w:hAnsi="仿宋" w:eastAsia="仿宋" w:cs="宋体"/>
              </w:rPr>
            </w:pPr>
            <w:r>
              <w:rPr>
                <w:rFonts w:hint="eastAsia" w:ascii="仿宋" w:hAnsi="仿宋" w:eastAsia="仿宋" w:cs="宋体"/>
              </w:rPr>
              <w:t>①项目立项程序是否规范；（1分）</w:t>
            </w:r>
          </w:p>
          <w:p>
            <w:pPr>
              <w:rPr>
                <w:rFonts w:hint="eastAsia" w:ascii="仿宋" w:hAnsi="仿宋" w:eastAsia="仿宋" w:cs="宋体"/>
              </w:rPr>
            </w:pPr>
            <w:r>
              <w:rPr>
                <w:rFonts w:hint="eastAsia" w:ascii="仿宋" w:hAnsi="仿宋" w:eastAsia="仿宋" w:cs="宋体"/>
              </w:rPr>
              <w:t>②事前是否经过必要的可行性研究、专家论证和集体决策等程序；（1分）</w:t>
            </w:r>
          </w:p>
          <w:p>
            <w:pPr>
              <w:rPr>
                <w:rFonts w:hint="eastAsia" w:ascii="仿宋" w:hAnsi="仿宋" w:eastAsia="仿宋" w:cs="宋体"/>
              </w:rPr>
            </w:pPr>
            <w:r>
              <w:rPr>
                <w:rFonts w:hint="eastAsia" w:ascii="仿宋" w:hAnsi="仿宋" w:eastAsia="仿宋" w:cs="宋体"/>
              </w:rPr>
              <w:t>③项目建设所需各类资金来源依据是否充分，筹措计划是否科学可行，所需资金是否及时到位；（1分）</w:t>
            </w:r>
          </w:p>
          <w:p>
            <w:pPr>
              <w:rPr>
                <w:rFonts w:hint="eastAsia" w:ascii="仿宋" w:hAnsi="仿宋" w:eastAsia="仿宋" w:cs="宋体"/>
              </w:rPr>
            </w:pPr>
            <w:r>
              <w:rPr>
                <w:rFonts w:hint="eastAsia" w:ascii="仿宋" w:hAnsi="仿宋" w:eastAsia="仿宋" w:cs="宋体"/>
              </w:rPr>
              <w:t>④项目是否完成勘察、设计、用地、环评、开工许可等前期工作，达到开工建设条件情况。（1分）</w:t>
            </w:r>
          </w:p>
          <w:p>
            <w:pPr>
              <w:rPr>
                <w:rFonts w:hint="eastAsia" w:ascii="仿宋" w:hAnsi="仿宋" w:eastAsia="仿宋" w:cs="宋体"/>
              </w:rPr>
            </w:pPr>
            <w:r>
              <w:rPr>
                <w:rFonts w:hint="eastAsia" w:ascii="仿宋" w:hAnsi="仿宋" w:eastAsia="仿宋" w:cs="宋体"/>
              </w:rPr>
              <w:t>评分标准：</w:t>
            </w:r>
          </w:p>
          <w:p>
            <w:pPr>
              <w:rPr>
                <w:rFonts w:hint="eastAsia" w:ascii="仿宋" w:hAnsi="仿宋" w:eastAsia="仿宋" w:cs="宋体"/>
              </w:rPr>
            </w:pPr>
            <w:r>
              <w:rPr>
                <w:rFonts w:hint="eastAsia" w:ascii="仿宋" w:hAnsi="仿宋" w:eastAsia="仿宋" w:cs="宋体"/>
              </w:rPr>
              <w:t>满足每个评价要点，各得1分；每项评价要点中出现1处不满足的情况，该项要点不得分。</w:t>
            </w:r>
          </w:p>
        </w:tc>
        <w:tc>
          <w:tcPr>
            <w:tcW w:w="893" w:type="dxa"/>
            <w:tcBorders>
              <w:top w:val="nil"/>
              <w:left w:val="nil"/>
              <w:bottom w:val="single" w:color="auto" w:sz="4" w:space="0"/>
              <w:right w:val="single" w:color="auto" w:sz="4" w:space="0"/>
            </w:tcBorders>
          </w:tcPr>
          <w:p>
            <w:pPr>
              <w:rPr>
                <w:rFonts w:hint="eastAsia" w:ascii="仿宋" w:hAnsi="仿宋" w:eastAsia="仿宋" w:cs="宋体"/>
              </w:rPr>
            </w:pPr>
            <w:r>
              <w:rPr>
                <w:rFonts w:hint="eastAsia" w:ascii="仿宋" w:hAnsi="仿宋" w:eastAsia="仿宋" w:cs="宋体"/>
              </w:rPr>
              <w:t>4</w:t>
            </w:r>
          </w:p>
        </w:tc>
      </w:tr>
      <w:tr>
        <w:tblPrEx>
          <w:tblCellMar>
            <w:top w:w="0" w:type="dxa"/>
            <w:left w:w="108" w:type="dxa"/>
            <w:bottom w:w="0" w:type="dxa"/>
            <w:right w:w="108" w:type="dxa"/>
          </w:tblCellMar>
        </w:tblPrEx>
        <w:trPr>
          <w:trHeight w:val="1660" w:hRule="atLeast"/>
          <w:jc w:val="center"/>
        </w:trPr>
        <w:tc>
          <w:tcPr>
            <w:tcW w:w="685"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846"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1071" w:type="dxa"/>
            <w:tcBorders>
              <w:top w:val="nil"/>
              <w:left w:val="nil"/>
              <w:bottom w:val="nil"/>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决策内容合理性（2分）</w:t>
            </w:r>
          </w:p>
        </w:tc>
        <w:tc>
          <w:tcPr>
            <w:tcW w:w="4914" w:type="dxa"/>
            <w:tcBorders>
              <w:top w:val="nil"/>
              <w:left w:val="nil"/>
              <w:bottom w:val="nil"/>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评价要点：</w:t>
            </w:r>
          </w:p>
          <w:p>
            <w:pPr>
              <w:rPr>
                <w:rFonts w:hint="eastAsia" w:ascii="仿宋" w:hAnsi="仿宋" w:eastAsia="仿宋" w:cs="宋体"/>
              </w:rPr>
            </w:pPr>
            <w:r>
              <w:rPr>
                <w:rFonts w:hint="eastAsia" w:ascii="仿宋" w:hAnsi="仿宋" w:eastAsia="仿宋" w:cs="宋体"/>
              </w:rPr>
              <w:t>①项目是否符合专项债券支持领域和方向；（1分）</w:t>
            </w:r>
          </w:p>
          <w:p>
            <w:pPr>
              <w:rPr>
                <w:rFonts w:hint="eastAsia" w:ascii="仿宋" w:hAnsi="仿宋" w:eastAsia="仿宋" w:cs="宋体"/>
              </w:rPr>
            </w:pPr>
            <w:r>
              <w:rPr>
                <w:rFonts w:hint="eastAsia" w:ascii="仿宋" w:hAnsi="仿宋" w:eastAsia="仿宋" w:cs="宋体"/>
              </w:rPr>
              <w:t>②项目专项债券资金建设内容是否符合专项债券使用管理要求。（1分）</w:t>
            </w:r>
          </w:p>
          <w:p>
            <w:pPr>
              <w:rPr>
                <w:rFonts w:hint="eastAsia" w:ascii="仿宋" w:hAnsi="仿宋" w:eastAsia="仿宋" w:cs="宋体"/>
              </w:rPr>
            </w:pPr>
            <w:r>
              <w:rPr>
                <w:rFonts w:hint="eastAsia" w:ascii="仿宋" w:hAnsi="仿宋" w:eastAsia="仿宋" w:cs="宋体"/>
              </w:rPr>
              <w:t>评分标准：</w:t>
            </w:r>
          </w:p>
          <w:p>
            <w:pPr>
              <w:rPr>
                <w:rFonts w:hint="eastAsia" w:ascii="仿宋" w:hAnsi="仿宋" w:eastAsia="仿宋" w:cs="宋体"/>
              </w:rPr>
            </w:pPr>
            <w:r>
              <w:rPr>
                <w:rFonts w:hint="eastAsia" w:ascii="仿宋" w:hAnsi="仿宋" w:eastAsia="仿宋" w:cs="宋体"/>
              </w:rPr>
              <w:t>满足评价要点①②，各得1分；每项评价要点中出现不满足的情况，不得分。</w:t>
            </w:r>
          </w:p>
        </w:tc>
        <w:tc>
          <w:tcPr>
            <w:tcW w:w="893" w:type="dxa"/>
            <w:tcBorders>
              <w:top w:val="nil"/>
              <w:left w:val="nil"/>
              <w:bottom w:val="nil"/>
              <w:right w:val="single" w:color="auto" w:sz="4" w:space="0"/>
            </w:tcBorders>
          </w:tcPr>
          <w:p>
            <w:pPr>
              <w:rPr>
                <w:rFonts w:hint="eastAsia" w:ascii="仿宋" w:hAnsi="仿宋" w:eastAsia="仿宋" w:cs="宋体"/>
              </w:rPr>
            </w:pPr>
            <w:r>
              <w:rPr>
                <w:rFonts w:hint="eastAsia" w:ascii="仿宋" w:hAnsi="仿宋" w:eastAsia="仿宋" w:cs="宋体"/>
              </w:rPr>
              <w:t>2</w:t>
            </w:r>
          </w:p>
        </w:tc>
      </w:tr>
      <w:tr>
        <w:tblPrEx>
          <w:tblCellMar>
            <w:top w:w="0" w:type="dxa"/>
            <w:left w:w="108" w:type="dxa"/>
            <w:bottom w:w="0" w:type="dxa"/>
            <w:right w:w="108" w:type="dxa"/>
          </w:tblCellMar>
        </w:tblPrEx>
        <w:trPr>
          <w:trHeight w:val="1222" w:hRule="atLeast"/>
          <w:jc w:val="center"/>
        </w:trPr>
        <w:tc>
          <w:tcPr>
            <w:tcW w:w="685"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8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绩效目标（5分）　</w:t>
            </w:r>
          </w:p>
        </w:tc>
        <w:tc>
          <w:tcPr>
            <w:tcW w:w="107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绩效目标合理性（2分）</w:t>
            </w:r>
          </w:p>
        </w:tc>
        <w:tc>
          <w:tcPr>
            <w:tcW w:w="4914" w:type="dxa"/>
            <w:tcBorders>
              <w:top w:val="single" w:color="auto" w:sz="4" w:space="0"/>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评价要点：</w:t>
            </w:r>
          </w:p>
          <w:p>
            <w:pPr>
              <w:rPr>
                <w:rFonts w:hint="eastAsia" w:ascii="仿宋" w:hAnsi="仿宋" w:eastAsia="仿宋" w:cs="宋体"/>
              </w:rPr>
            </w:pPr>
            <w:r>
              <w:rPr>
                <w:rFonts w:hint="eastAsia" w:ascii="仿宋" w:hAnsi="仿宋" w:eastAsia="仿宋" w:cs="宋体"/>
              </w:rPr>
              <w:t>①是否包含总体绩效目标和实施期绩效目标；（1分）</w:t>
            </w:r>
          </w:p>
          <w:p>
            <w:pPr>
              <w:rPr>
                <w:rFonts w:hint="eastAsia" w:ascii="仿宋" w:hAnsi="仿宋" w:eastAsia="仿宋" w:cs="宋体"/>
              </w:rPr>
            </w:pPr>
            <w:r>
              <w:rPr>
                <w:rFonts w:hint="eastAsia" w:ascii="仿宋" w:hAnsi="仿宋" w:eastAsia="仿宋" w:cs="宋体"/>
              </w:rPr>
              <w:t>②是否准确体现决策意图，与资金或项目属性特点、支出内容相关；（1分）</w:t>
            </w:r>
          </w:p>
          <w:p>
            <w:pPr>
              <w:rPr>
                <w:rFonts w:hint="eastAsia" w:ascii="仿宋" w:hAnsi="仿宋" w:eastAsia="仿宋" w:cs="宋体"/>
              </w:rPr>
            </w:pPr>
            <w:r>
              <w:rPr>
                <w:rFonts w:hint="eastAsia" w:ascii="仿宋" w:hAnsi="仿宋" w:eastAsia="仿宋" w:cs="宋体"/>
              </w:rPr>
              <w:t>评分标准：</w:t>
            </w:r>
          </w:p>
          <w:p>
            <w:pPr>
              <w:rPr>
                <w:rFonts w:hint="eastAsia" w:ascii="仿宋" w:hAnsi="仿宋" w:eastAsia="仿宋" w:cs="宋体"/>
              </w:rPr>
            </w:pPr>
            <w:r>
              <w:rPr>
                <w:rFonts w:hint="eastAsia" w:ascii="仿宋" w:hAnsi="仿宋" w:eastAsia="仿宋" w:cs="宋体"/>
              </w:rPr>
              <w:t>满足评价要点①②，各得1分。。</w:t>
            </w:r>
          </w:p>
        </w:tc>
        <w:tc>
          <w:tcPr>
            <w:tcW w:w="893" w:type="dxa"/>
            <w:tcBorders>
              <w:top w:val="single" w:color="auto" w:sz="4" w:space="0"/>
              <w:left w:val="nil"/>
              <w:bottom w:val="single" w:color="auto" w:sz="4" w:space="0"/>
              <w:right w:val="single" w:color="auto" w:sz="4" w:space="0"/>
            </w:tcBorders>
          </w:tcPr>
          <w:p>
            <w:pPr>
              <w:rPr>
                <w:rFonts w:hint="eastAsia" w:ascii="仿宋" w:hAnsi="仿宋" w:eastAsia="仿宋" w:cs="宋体"/>
              </w:rPr>
            </w:pPr>
            <w:r>
              <w:rPr>
                <w:rFonts w:hint="eastAsia" w:ascii="仿宋" w:hAnsi="仿宋" w:eastAsia="仿宋" w:cs="宋体"/>
              </w:rPr>
              <w:t>2</w:t>
            </w:r>
          </w:p>
        </w:tc>
      </w:tr>
      <w:tr>
        <w:tblPrEx>
          <w:tblCellMar>
            <w:top w:w="0" w:type="dxa"/>
            <w:left w:w="108" w:type="dxa"/>
            <w:bottom w:w="0" w:type="dxa"/>
            <w:right w:w="108" w:type="dxa"/>
          </w:tblCellMar>
        </w:tblPrEx>
        <w:trPr>
          <w:trHeight w:val="1072" w:hRule="atLeast"/>
          <w:jc w:val="center"/>
        </w:trPr>
        <w:tc>
          <w:tcPr>
            <w:tcW w:w="685"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1071"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绩效指标明确性（3分）</w:t>
            </w:r>
          </w:p>
        </w:tc>
        <w:tc>
          <w:tcPr>
            <w:tcW w:w="4914"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评价要点：</w:t>
            </w:r>
          </w:p>
          <w:p>
            <w:pPr>
              <w:rPr>
                <w:rFonts w:hint="eastAsia" w:ascii="仿宋" w:hAnsi="仿宋" w:eastAsia="仿宋" w:cs="宋体"/>
              </w:rPr>
            </w:pPr>
            <w:r>
              <w:rPr>
                <w:rFonts w:hint="eastAsia" w:ascii="仿宋" w:hAnsi="仿宋" w:eastAsia="仿宋" w:cs="宋体"/>
              </w:rPr>
              <w:t>①绩效目标设置是否有指标数值支撑；（1分）</w:t>
            </w:r>
          </w:p>
          <w:p>
            <w:pPr>
              <w:rPr>
                <w:rFonts w:hint="eastAsia" w:ascii="仿宋" w:hAnsi="仿宋" w:eastAsia="仿宋" w:cs="宋体"/>
              </w:rPr>
            </w:pPr>
            <w:r>
              <w:rPr>
                <w:rFonts w:hint="eastAsia" w:ascii="仿宋" w:hAnsi="仿宋" w:eastAsia="仿宋" w:cs="宋体"/>
              </w:rPr>
              <w:t>②是否包括预期提供的公共产品或服务的成本、产出、效益指标、偿债风险指标等主要指标。（1分）</w:t>
            </w:r>
          </w:p>
          <w:p>
            <w:pPr>
              <w:rPr>
                <w:rFonts w:hint="eastAsia" w:ascii="仿宋" w:hAnsi="仿宋" w:eastAsia="仿宋" w:cs="宋体"/>
              </w:rPr>
            </w:pPr>
            <w:r>
              <w:rPr>
                <w:rFonts w:hint="eastAsia" w:ascii="仿宋" w:hAnsi="仿宋" w:eastAsia="仿宋" w:cs="宋体"/>
              </w:rPr>
              <w:t>③绩效指标的设置是否细化分解、可衡量。（1分）</w:t>
            </w:r>
          </w:p>
          <w:p>
            <w:pPr>
              <w:rPr>
                <w:rFonts w:hint="eastAsia" w:ascii="仿宋" w:hAnsi="仿宋" w:eastAsia="仿宋" w:cs="宋体"/>
              </w:rPr>
            </w:pPr>
            <w:r>
              <w:rPr>
                <w:rFonts w:hint="eastAsia" w:ascii="仿宋" w:hAnsi="仿宋" w:eastAsia="仿宋" w:cs="宋体"/>
              </w:rPr>
              <w:t>满足评价要点①②③，各得1分；绩效指标设置表述不清晰、不细化，指标值不可衡量的，酌情扣分，分数扣完为止。</w:t>
            </w:r>
          </w:p>
        </w:tc>
        <w:tc>
          <w:tcPr>
            <w:tcW w:w="893" w:type="dxa"/>
            <w:tcBorders>
              <w:top w:val="nil"/>
              <w:left w:val="nil"/>
              <w:bottom w:val="single" w:color="auto" w:sz="4" w:space="0"/>
              <w:right w:val="single" w:color="auto" w:sz="4" w:space="0"/>
            </w:tcBorders>
          </w:tcPr>
          <w:p>
            <w:pPr>
              <w:rPr>
                <w:rFonts w:hint="eastAsia" w:ascii="仿宋" w:hAnsi="仿宋" w:eastAsia="仿宋" w:cs="宋体"/>
              </w:rPr>
            </w:pPr>
            <w:r>
              <w:rPr>
                <w:rFonts w:hint="eastAsia" w:ascii="仿宋" w:hAnsi="仿宋" w:eastAsia="仿宋" w:cs="宋体"/>
              </w:rPr>
              <w:t>2</w:t>
            </w:r>
          </w:p>
        </w:tc>
      </w:tr>
      <w:tr>
        <w:tblPrEx>
          <w:tblCellMar>
            <w:top w:w="0" w:type="dxa"/>
            <w:left w:w="108" w:type="dxa"/>
            <w:bottom w:w="0" w:type="dxa"/>
            <w:right w:w="108" w:type="dxa"/>
          </w:tblCellMar>
        </w:tblPrEx>
        <w:trPr>
          <w:trHeight w:val="1230" w:hRule="atLeast"/>
          <w:jc w:val="center"/>
        </w:trPr>
        <w:tc>
          <w:tcPr>
            <w:tcW w:w="685"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846"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资金投入（4分）</w:t>
            </w:r>
          </w:p>
        </w:tc>
        <w:tc>
          <w:tcPr>
            <w:tcW w:w="1071"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资金需求合理性（4分）</w:t>
            </w:r>
          </w:p>
        </w:tc>
        <w:tc>
          <w:tcPr>
            <w:tcW w:w="4914"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评价要点：</w:t>
            </w:r>
          </w:p>
          <w:p>
            <w:pPr>
              <w:rPr>
                <w:rFonts w:hint="eastAsia" w:ascii="仿宋" w:hAnsi="仿宋" w:eastAsia="仿宋" w:cs="宋体"/>
              </w:rPr>
            </w:pPr>
            <w:r>
              <w:rPr>
                <w:rFonts w:hint="eastAsia" w:ascii="仿宋" w:hAnsi="仿宋" w:eastAsia="仿宋" w:cs="宋体"/>
              </w:rPr>
              <w:t>①项目收入、成本及预期收益依据是否充分，相关测算数据是否科学合理；（2分）</w:t>
            </w:r>
          </w:p>
          <w:p>
            <w:pPr>
              <w:rPr>
                <w:rFonts w:hint="eastAsia" w:ascii="仿宋" w:hAnsi="仿宋" w:eastAsia="仿宋" w:cs="宋体"/>
              </w:rPr>
            </w:pPr>
            <w:r>
              <w:rPr>
                <w:rFonts w:hint="eastAsia" w:ascii="仿宋" w:hAnsi="仿宋" w:eastAsia="仿宋" w:cs="宋体"/>
              </w:rPr>
              <w:t>②申请专项债券额度是否与项目实际需要匹配情况。（2分）</w:t>
            </w:r>
          </w:p>
          <w:p>
            <w:pPr>
              <w:rPr>
                <w:rFonts w:hint="eastAsia" w:ascii="仿宋" w:hAnsi="仿宋" w:eastAsia="仿宋" w:cs="宋体"/>
              </w:rPr>
            </w:pPr>
            <w:r>
              <w:rPr>
                <w:rFonts w:hint="eastAsia" w:ascii="仿宋" w:hAnsi="仿宋" w:eastAsia="仿宋" w:cs="宋体"/>
              </w:rPr>
              <w:t>满足评价要点①②，各得2分；每出现一个评价要点不符合要求的，对应的评价要点分值不得分。。</w:t>
            </w:r>
          </w:p>
        </w:tc>
        <w:tc>
          <w:tcPr>
            <w:tcW w:w="893" w:type="dxa"/>
            <w:tcBorders>
              <w:top w:val="nil"/>
              <w:left w:val="nil"/>
              <w:bottom w:val="single" w:color="auto" w:sz="4" w:space="0"/>
              <w:right w:val="single" w:color="auto" w:sz="4" w:space="0"/>
            </w:tcBorders>
          </w:tcPr>
          <w:p>
            <w:pPr>
              <w:rPr>
                <w:rFonts w:hint="eastAsia" w:ascii="仿宋" w:hAnsi="仿宋" w:eastAsia="仿宋" w:cs="宋体"/>
              </w:rPr>
            </w:pPr>
            <w:r>
              <w:rPr>
                <w:rFonts w:hint="eastAsia" w:ascii="仿宋" w:hAnsi="仿宋" w:eastAsia="仿宋" w:cs="宋体"/>
              </w:rPr>
              <w:t>2</w:t>
            </w:r>
          </w:p>
        </w:tc>
      </w:tr>
      <w:tr>
        <w:tblPrEx>
          <w:tblCellMar>
            <w:top w:w="0" w:type="dxa"/>
            <w:left w:w="108" w:type="dxa"/>
            <w:bottom w:w="0" w:type="dxa"/>
            <w:right w:w="108" w:type="dxa"/>
          </w:tblCellMar>
        </w:tblPrEx>
        <w:trPr>
          <w:trHeight w:val="1390" w:hRule="atLeast"/>
          <w:jc w:val="center"/>
        </w:trPr>
        <w:tc>
          <w:tcPr>
            <w:tcW w:w="685" w:type="dxa"/>
            <w:vMerge w:val="restart"/>
            <w:tcBorders>
              <w:top w:val="nil"/>
              <w:left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过程（25分）</w:t>
            </w:r>
          </w:p>
        </w:tc>
        <w:tc>
          <w:tcPr>
            <w:tcW w:w="8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资金管理（8分）</w:t>
            </w:r>
          </w:p>
        </w:tc>
        <w:tc>
          <w:tcPr>
            <w:tcW w:w="1071"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资金到位率（2分）</w:t>
            </w:r>
          </w:p>
        </w:tc>
        <w:tc>
          <w:tcPr>
            <w:tcW w:w="4914"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评价要点：</w:t>
            </w:r>
          </w:p>
          <w:p>
            <w:pPr>
              <w:rPr>
                <w:rFonts w:hint="eastAsia" w:ascii="仿宋" w:hAnsi="仿宋" w:eastAsia="仿宋" w:cs="宋体"/>
              </w:rPr>
            </w:pPr>
            <w:r>
              <w:rPr>
                <w:rFonts w:hint="eastAsia" w:ascii="仿宋" w:hAnsi="仿宋" w:eastAsia="仿宋" w:cs="宋体"/>
              </w:rPr>
              <w:t>资金到位率=（实际到位资金/预算资金）×100%</w:t>
            </w:r>
          </w:p>
          <w:p>
            <w:pPr>
              <w:rPr>
                <w:rFonts w:hint="eastAsia" w:ascii="仿宋" w:hAnsi="仿宋" w:eastAsia="仿宋" w:cs="宋体"/>
              </w:rPr>
            </w:pPr>
            <w:r>
              <w:rPr>
                <w:rFonts w:hint="eastAsia" w:ascii="仿宋" w:hAnsi="仿宋" w:eastAsia="仿宋" w:cs="宋体"/>
              </w:rPr>
              <w:t>资金到位率=100%得2分，否则分值=资金到位率×2分。</w:t>
            </w:r>
          </w:p>
        </w:tc>
        <w:tc>
          <w:tcPr>
            <w:tcW w:w="893" w:type="dxa"/>
            <w:tcBorders>
              <w:top w:val="nil"/>
              <w:left w:val="nil"/>
              <w:bottom w:val="single" w:color="auto" w:sz="4" w:space="0"/>
              <w:right w:val="single" w:color="auto" w:sz="4" w:space="0"/>
            </w:tcBorders>
          </w:tcPr>
          <w:p>
            <w:pPr>
              <w:rPr>
                <w:rFonts w:hint="eastAsia" w:ascii="仿宋" w:hAnsi="仿宋" w:eastAsia="仿宋" w:cs="宋体"/>
              </w:rPr>
            </w:pPr>
            <w:r>
              <w:rPr>
                <w:rFonts w:hint="eastAsia" w:ascii="仿宋" w:hAnsi="仿宋" w:eastAsia="仿宋" w:cs="宋体"/>
              </w:rPr>
              <w:t>2</w:t>
            </w:r>
          </w:p>
        </w:tc>
      </w:tr>
      <w:tr>
        <w:tblPrEx>
          <w:tblCellMar>
            <w:top w:w="0" w:type="dxa"/>
            <w:left w:w="108" w:type="dxa"/>
            <w:bottom w:w="0" w:type="dxa"/>
            <w:right w:w="108" w:type="dxa"/>
          </w:tblCellMar>
        </w:tblPrEx>
        <w:trPr>
          <w:trHeight w:val="1245" w:hRule="atLeast"/>
          <w:jc w:val="center"/>
        </w:trPr>
        <w:tc>
          <w:tcPr>
            <w:tcW w:w="685" w:type="dxa"/>
            <w:vMerge w:val="continue"/>
            <w:tcBorders>
              <w:left w:val="single" w:color="auto" w:sz="4" w:space="0"/>
              <w:right w:val="single" w:color="auto" w:sz="4" w:space="0"/>
            </w:tcBorders>
            <w:vAlign w:val="center"/>
          </w:tcPr>
          <w:p>
            <w:pPr>
              <w:rPr>
                <w:rFonts w:hint="eastAsia" w:ascii="仿宋" w:hAnsi="仿宋" w:eastAsia="仿宋" w:cs="宋体"/>
              </w:rPr>
            </w:pP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1071"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资金执行率（2分）</w:t>
            </w:r>
          </w:p>
        </w:tc>
        <w:tc>
          <w:tcPr>
            <w:tcW w:w="4914"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评价要点：</w:t>
            </w:r>
          </w:p>
          <w:p>
            <w:pPr>
              <w:rPr>
                <w:rFonts w:hint="eastAsia" w:ascii="仿宋" w:hAnsi="仿宋" w:eastAsia="仿宋" w:cs="宋体"/>
              </w:rPr>
            </w:pPr>
            <w:r>
              <w:rPr>
                <w:rFonts w:hint="eastAsia" w:ascii="仿宋" w:hAnsi="仿宋" w:eastAsia="仿宋" w:cs="宋体"/>
              </w:rPr>
              <w:t>资金执行率=（实际支出资金/实际到位资金）×100%。</w:t>
            </w:r>
          </w:p>
          <w:p>
            <w:pPr>
              <w:rPr>
                <w:rFonts w:hint="eastAsia" w:ascii="仿宋" w:hAnsi="仿宋" w:eastAsia="仿宋" w:cs="宋体"/>
              </w:rPr>
            </w:pPr>
            <w:r>
              <w:rPr>
                <w:rFonts w:hint="eastAsia" w:ascii="仿宋" w:hAnsi="仿宋" w:eastAsia="仿宋" w:cs="宋体"/>
              </w:rPr>
              <w:t>资金执行率=100%得2分，否则分值=资金执行率×2分。</w:t>
            </w:r>
          </w:p>
        </w:tc>
        <w:tc>
          <w:tcPr>
            <w:tcW w:w="893" w:type="dxa"/>
            <w:tcBorders>
              <w:top w:val="nil"/>
              <w:left w:val="nil"/>
              <w:bottom w:val="single" w:color="auto" w:sz="4" w:space="0"/>
              <w:right w:val="single" w:color="auto" w:sz="4" w:space="0"/>
            </w:tcBorders>
          </w:tcPr>
          <w:p>
            <w:pPr>
              <w:rPr>
                <w:rFonts w:hint="eastAsia" w:ascii="仿宋" w:hAnsi="仿宋" w:eastAsia="仿宋" w:cs="宋体"/>
              </w:rPr>
            </w:pPr>
            <w:r>
              <w:rPr>
                <w:rFonts w:hint="eastAsia" w:ascii="仿宋" w:hAnsi="仿宋" w:eastAsia="仿宋" w:cs="宋体"/>
              </w:rPr>
              <w:t>1</w:t>
            </w:r>
          </w:p>
        </w:tc>
      </w:tr>
      <w:tr>
        <w:tblPrEx>
          <w:tblCellMar>
            <w:top w:w="0" w:type="dxa"/>
            <w:left w:w="108" w:type="dxa"/>
            <w:bottom w:w="0" w:type="dxa"/>
            <w:right w:w="108" w:type="dxa"/>
          </w:tblCellMar>
        </w:tblPrEx>
        <w:trPr>
          <w:trHeight w:val="1522" w:hRule="atLeast"/>
          <w:jc w:val="center"/>
        </w:trPr>
        <w:tc>
          <w:tcPr>
            <w:tcW w:w="685" w:type="dxa"/>
            <w:vMerge w:val="continue"/>
            <w:tcBorders>
              <w:left w:val="single" w:color="auto" w:sz="4" w:space="0"/>
              <w:right w:val="single" w:color="auto" w:sz="4" w:space="0"/>
            </w:tcBorders>
            <w:vAlign w:val="center"/>
          </w:tcPr>
          <w:p>
            <w:pPr>
              <w:rPr>
                <w:rFonts w:hint="eastAsia" w:ascii="仿宋" w:hAnsi="仿宋" w:eastAsia="仿宋" w:cs="宋体"/>
              </w:rPr>
            </w:pP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1071"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资金使用合规性（4分）</w:t>
            </w:r>
          </w:p>
        </w:tc>
        <w:tc>
          <w:tcPr>
            <w:tcW w:w="4914"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评价要点：</w:t>
            </w:r>
          </w:p>
          <w:p>
            <w:pPr>
              <w:rPr>
                <w:rFonts w:hint="eastAsia" w:ascii="仿宋" w:hAnsi="仿宋" w:eastAsia="仿宋" w:cs="宋体"/>
              </w:rPr>
            </w:pPr>
            <w:r>
              <w:rPr>
                <w:rFonts w:hint="eastAsia" w:ascii="仿宋" w:hAnsi="仿宋" w:eastAsia="仿宋" w:cs="宋体"/>
              </w:rPr>
              <w:t>①资金管理、费用标准、支付手续是否符合有关制度规定的情况；</w:t>
            </w:r>
          </w:p>
          <w:p>
            <w:pPr>
              <w:rPr>
                <w:rFonts w:hint="eastAsia" w:ascii="仿宋" w:hAnsi="仿宋" w:eastAsia="仿宋" w:cs="宋体"/>
              </w:rPr>
            </w:pPr>
            <w:r>
              <w:rPr>
                <w:rFonts w:hint="eastAsia" w:ascii="仿宋" w:hAnsi="仿宋" w:eastAsia="仿宋" w:cs="宋体"/>
              </w:rPr>
              <w:t>②对财政资金、专项债券资金、其他资金等分别单独核算，确保专款专用；</w:t>
            </w:r>
          </w:p>
          <w:p>
            <w:pPr>
              <w:rPr>
                <w:rFonts w:hint="eastAsia" w:ascii="仿宋" w:hAnsi="仿宋" w:eastAsia="仿宋" w:cs="宋体"/>
              </w:rPr>
            </w:pPr>
            <w:r>
              <w:rPr>
                <w:rFonts w:hint="eastAsia" w:ascii="仿宋" w:hAnsi="仿宋" w:eastAsia="仿宋" w:cs="宋体"/>
              </w:rPr>
              <w:t>③债券资金用途是否规范，债券资金使用是否符合专项债券资金管理要求；</w:t>
            </w:r>
          </w:p>
          <w:p>
            <w:pPr>
              <w:rPr>
                <w:rFonts w:hint="eastAsia" w:ascii="仿宋" w:hAnsi="仿宋" w:eastAsia="仿宋" w:cs="宋体"/>
              </w:rPr>
            </w:pPr>
            <w:r>
              <w:rPr>
                <w:rFonts w:hint="eastAsia" w:ascii="仿宋" w:hAnsi="仿宋" w:eastAsia="仿宋" w:cs="宋体"/>
              </w:rPr>
              <w:t>④涉及债券资金用途调整的是否按规定履行调整报批手续。</w:t>
            </w:r>
          </w:p>
          <w:p>
            <w:pPr>
              <w:rPr>
                <w:rFonts w:hint="eastAsia" w:ascii="仿宋" w:hAnsi="仿宋" w:eastAsia="仿宋" w:cs="宋体"/>
              </w:rPr>
            </w:pPr>
            <w:r>
              <w:rPr>
                <w:rFonts w:hint="eastAsia" w:ascii="仿宋" w:hAnsi="仿宋" w:eastAsia="仿宋" w:cs="宋体"/>
              </w:rPr>
              <w:t>评分标准：</w:t>
            </w:r>
          </w:p>
          <w:p>
            <w:pPr>
              <w:rPr>
                <w:rFonts w:hint="eastAsia" w:ascii="仿宋" w:hAnsi="仿宋" w:eastAsia="仿宋" w:cs="宋体"/>
              </w:rPr>
            </w:pPr>
            <w:r>
              <w:rPr>
                <w:rFonts w:hint="eastAsia" w:ascii="仿宋" w:hAnsi="仿宋" w:eastAsia="仿宋" w:cs="宋体"/>
              </w:rPr>
              <w:t>出现不符合评价要点的，每点扣1分，分数扣完为止；出现资金未专款专用的情况，该指标不得分。</w:t>
            </w:r>
          </w:p>
        </w:tc>
        <w:tc>
          <w:tcPr>
            <w:tcW w:w="893" w:type="dxa"/>
            <w:tcBorders>
              <w:top w:val="nil"/>
              <w:left w:val="nil"/>
              <w:bottom w:val="single" w:color="auto" w:sz="4" w:space="0"/>
              <w:right w:val="single" w:color="auto" w:sz="4" w:space="0"/>
            </w:tcBorders>
          </w:tcPr>
          <w:p>
            <w:pPr>
              <w:rPr>
                <w:rFonts w:hint="eastAsia" w:ascii="仿宋" w:hAnsi="仿宋" w:eastAsia="仿宋" w:cs="宋体"/>
              </w:rPr>
            </w:pPr>
            <w:r>
              <w:rPr>
                <w:rFonts w:hint="eastAsia" w:ascii="仿宋" w:hAnsi="仿宋" w:eastAsia="仿宋" w:cs="宋体"/>
              </w:rPr>
              <w:t>4</w:t>
            </w:r>
          </w:p>
        </w:tc>
      </w:tr>
      <w:tr>
        <w:tblPrEx>
          <w:tblCellMar>
            <w:top w:w="0" w:type="dxa"/>
            <w:left w:w="108" w:type="dxa"/>
            <w:bottom w:w="0" w:type="dxa"/>
            <w:right w:w="108" w:type="dxa"/>
          </w:tblCellMar>
        </w:tblPrEx>
        <w:trPr>
          <w:trHeight w:val="1522" w:hRule="atLeast"/>
          <w:jc w:val="center"/>
        </w:trPr>
        <w:tc>
          <w:tcPr>
            <w:tcW w:w="685" w:type="dxa"/>
            <w:vMerge w:val="continue"/>
            <w:tcBorders>
              <w:left w:val="single" w:color="auto" w:sz="4" w:space="0"/>
              <w:right w:val="single" w:color="auto" w:sz="4" w:space="0"/>
            </w:tcBorders>
            <w:vAlign w:val="center"/>
          </w:tcPr>
          <w:p>
            <w:pPr>
              <w:rPr>
                <w:rFonts w:hint="eastAsia" w:ascii="仿宋" w:hAnsi="仿宋" w:eastAsia="仿宋" w:cs="宋体"/>
              </w:rPr>
            </w:pPr>
          </w:p>
        </w:tc>
        <w:tc>
          <w:tcPr>
            <w:tcW w:w="846"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rPr>
            </w:pPr>
            <w:r>
              <w:rPr>
                <w:rFonts w:hint="eastAsia" w:ascii="仿宋" w:hAnsi="仿宋" w:eastAsia="仿宋" w:cs="宋体"/>
              </w:rPr>
              <w:t>资产管理（1分）</w:t>
            </w:r>
          </w:p>
        </w:tc>
        <w:tc>
          <w:tcPr>
            <w:tcW w:w="1071"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资产管理规范性（1分）</w:t>
            </w:r>
          </w:p>
        </w:tc>
        <w:tc>
          <w:tcPr>
            <w:tcW w:w="4914"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评价要点：</w:t>
            </w:r>
          </w:p>
          <w:p>
            <w:pPr>
              <w:rPr>
                <w:rFonts w:hint="eastAsia" w:ascii="仿宋" w:hAnsi="仿宋" w:eastAsia="仿宋" w:cs="宋体"/>
              </w:rPr>
            </w:pPr>
            <w:r>
              <w:rPr>
                <w:rFonts w:hint="eastAsia" w:ascii="仿宋" w:hAnsi="仿宋" w:eastAsia="仿宋" w:cs="宋体"/>
              </w:rPr>
              <w:t>①项目竣工后是否及时竣工验收；（0.5分）</w:t>
            </w:r>
          </w:p>
          <w:p>
            <w:pPr>
              <w:rPr>
                <w:rFonts w:hint="eastAsia" w:ascii="仿宋" w:hAnsi="仿宋" w:eastAsia="仿宋" w:cs="宋体"/>
              </w:rPr>
            </w:pPr>
            <w:r>
              <w:rPr>
                <w:rFonts w:hint="eastAsia" w:ascii="仿宋" w:hAnsi="仿宋" w:eastAsia="仿宋" w:cs="宋体"/>
              </w:rPr>
              <w:t>②资产是否及时办理资产交付手续、将“在建工程”或公共基础设施转为固定资产。（0.5分）</w:t>
            </w:r>
          </w:p>
          <w:p>
            <w:pPr>
              <w:rPr>
                <w:rFonts w:hint="eastAsia" w:ascii="仿宋" w:hAnsi="仿宋" w:eastAsia="仿宋" w:cs="宋体"/>
              </w:rPr>
            </w:pPr>
            <w:r>
              <w:rPr>
                <w:rFonts w:hint="eastAsia" w:ascii="仿宋" w:hAnsi="仿宋" w:eastAsia="仿宋" w:cs="宋体"/>
              </w:rPr>
              <w:t>评分标准：</w:t>
            </w:r>
          </w:p>
          <w:p>
            <w:pPr>
              <w:rPr>
                <w:rFonts w:hint="eastAsia" w:ascii="仿宋" w:hAnsi="仿宋" w:eastAsia="仿宋" w:cs="宋体"/>
              </w:rPr>
            </w:pPr>
            <w:r>
              <w:rPr>
                <w:rFonts w:hint="eastAsia" w:ascii="仿宋" w:hAnsi="仿宋" w:eastAsia="仿宋" w:cs="宋体"/>
              </w:rPr>
              <w:t>满足评价要点①②，各得0.5分；每出现一个评价要点不符合要求的，对应的评价要点分值不得分。</w:t>
            </w:r>
          </w:p>
        </w:tc>
        <w:tc>
          <w:tcPr>
            <w:tcW w:w="893" w:type="dxa"/>
            <w:tcBorders>
              <w:top w:val="nil"/>
              <w:left w:val="nil"/>
              <w:bottom w:val="single" w:color="auto" w:sz="4" w:space="0"/>
              <w:right w:val="single" w:color="auto" w:sz="4" w:space="0"/>
            </w:tcBorders>
          </w:tcPr>
          <w:p>
            <w:pPr>
              <w:rPr>
                <w:rFonts w:hint="eastAsia" w:ascii="仿宋" w:hAnsi="仿宋" w:eastAsia="仿宋" w:cs="宋体"/>
              </w:rPr>
            </w:pPr>
            <w:r>
              <w:rPr>
                <w:rFonts w:hint="eastAsia" w:ascii="仿宋" w:hAnsi="仿宋" w:eastAsia="仿宋" w:cs="宋体"/>
              </w:rPr>
              <w:t>1</w:t>
            </w:r>
          </w:p>
        </w:tc>
      </w:tr>
      <w:tr>
        <w:tblPrEx>
          <w:tblCellMar>
            <w:top w:w="0" w:type="dxa"/>
            <w:left w:w="108" w:type="dxa"/>
            <w:bottom w:w="0" w:type="dxa"/>
            <w:right w:w="108" w:type="dxa"/>
          </w:tblCellMar>
        </w:tblPrEx>
        <w:trPr>
          <w:trHeight w:val="1710" w:hRule="atLeast"/>
          <w:jc w:val="center"/>
        </w:trPr>
        <w:tc>
          <w:tcPr>
            <w:tcW w:w="685" w:type="dxa"/>
            <w:vMerge w:val="continue"/>
            <w:tcBorders>
              <w:left w:val="single" w:color="auto" w:sz="4" w:space="0"/>
              <w:right w:val="single" w:color="auto" w:sz="4" w:space="0"/>
            </w:tcBorders>
            <w:vAlign w:val="center"/>
          </w:tcPr>
          <w:p>
            <w:pPr>
              <w:rPr>
                <w:rFonts w:hint="eastAsia" w:ascii="仿宋" w:hAnsi="仿宋" w:eastAsia="仿宋" w:cs="宋体"/>
              </w:rPr>
            </w:pPr>
          </w:p>
        </w:tc>
        <w:tc>
          <w:tcPr>
            <w:tcW w:w="8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偿债风险防控（7分）</w:t>
            </w:r>
          </w:p>
        </w:tc>
        <w:tc>
          <w:tcPr>
            <w:tcW w:w="1071"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融资与收益平衡（4分）</w:t>
            </w:r>
          </w:p>
        </w:tc>
        <w:tc>
          <w:tcPr>
            <w:tcW w:w="4914"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评价要点：</w:t>
            </w:r>
          </w:p>
          <w:p>
            <w:pPr>
              <w:rPr>
                <w:rFonts w:hint="eastAsia" w:ascii="仿宋" w:hAnsi="仿宋" w:eastAsia="仿宋" w:cs="宋体"/>
              </w:rPr>
            </w:pPr>
            <w:r>
              <w:rPr>
                <w:rFonts w:hint="eastAsia" w:ascii="仿宋" w:hAnsi="仿宋" w:eastAsia="仿宋" w:cs="宋体"/>
              </w:rPr>
              <w:t>①每年末息前税后净现金流是否稳定；（1分）</w:t>
            </w:r>
          </w:p>
          <w:p>
            <w:pPr>
              <w:rPr>
                <w:rFonts w:hint="eastAsia" w:ascii="仿宋" w:hAnsi="仿宋" w:eastAsia="仿宋" w:cs="宋体"/>
              </w:rPr>
            </w:pPr>
            <w:r>
              <w:rPr>
                <w:rFonts w:hint="eastAsia" w:ascii="仿宋" w:hAnsi="仿宋" w:eastAsia="仿宋" w:cs="宋体"/>
              </w:rPr>
              <w:t>②每年末息前税后净现金流是否能覆盖当年还本付息资金；（1分）</w:t>
            </w:r>
          </w:p>
          <w:p>
            <w:pPr>
              <w:rPr>
                <w:rFonts w:hint="eastAsia" w:ascii="仿宋" w:hAnsi="仿宋" w:eastAsia="仿宋" w:cs="宋体"/>
              </w:rPr>
            </w:pPr>
            <w:r>
              <w:rPr>
                <w:rFonts w:hint="eastAsia" w:ascii="仿宋" w:hAnsi="仿宋" w:eastAsia="仿宋" w:cs="宋体"/>
              </w:rPr>
              <w:t>③专项债券期限是否与项目建设年度相匹配；（0.5分）</w:t>
            </w:r>
          </w:p>
          <w:p>
            <w:pPr>
              <w:rPr>
                <w:rFonts w:hint="eastAsia" w:ascii="仿宋" w:hAnsi="仿宋" w:eastAsia="仿宋" w:cs="宋体"/>
              </w:rPr>
            </w:pPr>
            <w:r>
              <w:rPr>
                <w:rFonts w:hint="eastAsia" w:ascii="仿宋" w:hAnsi="仿宋" w:eastAsia="仿宋" w:cs="宋体"/>
              </w:rPr>
              <w:t>④项目预期收益是否与项目建设年度相匹配。（0.5分）</w:t>
            </w:r>
          </w:p>
          <w:p>
            <w:pPr>
              <w:rPr>
                <w:rFonts w:hint="eastAsia" w:ascii="仿宋" w:hAnsi="仿宋" w:eastAsia="仿宋" w:cs="宋体"/>
              </w:rPr>
            </w:pPr>
            <w:r>
              <w:rPr>
                <w:rFonts w:hint="eastAsia" w:ascii="仿宋" w:hAnsi="仿宋" w:eastAsia="仿宋" w:cs="宋体"/>
              </w:rPr>
              <w:t>⑤项目全生命周期预期收益能否完全覆盖融资还本付息规模；（1分）</w:t>
            </w:r>
          </w:p>
          <w:p>
            <w:pPr>
              <w:rPr>
                <w:rFonts w:hint="eastAsia" w:ascii="仿宋" w:hAnsi="仿宋" w:eastAsia="仿宋" w:cs="宋体"/>
              </w:rPr>
            </w:pPr>
            <w:r>
              <w:rPr>
                <w:rFonts w:hint="eastAsia" w:ascii="仿宋" w:hAnsi="仿宋" w:eastAsia="仿宋" w:cs="宋体"/>
              </w:rPr>
              <w:t>评分标准：</w:t>
            </w:r>
          </w:p>
          <w:p>
            <w:pPr>
              <w:rPr>
                <w:rFonts w:hint="eastAsia" w:ascii="仿宋" w:hAnsi="仿宋" w:eastAsia="仿宋" w:cs="宋体"/>
              </w:rPr>
            </w:pPr>
            <w:r>
              <w:rPr>
                <w:rFonts w:hint="eastAsia" w:ascii="仿宋" w:hAnsi="仿宋" w:eastAsia="仿宋" w:cs="宋体"/>
              </w:rPr>
              <w:t>每出现一个评价要点不符合要求的，对应的评价要点分值不得分，满足要求则得分。</w:t>
            </w:r>
          </w:p>
        </w:tc>
        <w:tc>
          <w:tcPr>
            <w:tcW w:w="893" w:type="dxa"/>
            <w:tcBorders>
              <w:top w:val="nil"/>
              <w:left w:val="nil"/>
              <w:bottom w:val="single" w:color="auto" w:sz="4" w:space="0"/>
              <w:right w:val="single" w:color="auto" w:sz="4" w:space="0"/>
            </w:tcBorders>
          </w:tcPr>
          <w:p>
            <w:pPr>
              <w:rPr>
                <w:rFonts w:hint="eastAsia" w:ascii="仿宋" w:hAnsi="仿宋" w:eastAsia="仿宋" w:cs="宋体"/>
              </w:rPr>
            </w:pPr>
            <w:r>
              <w:rPr>
                <w:rFonts w:hint="eastAsia" w:ascii="仿宋" w:hAnsi="仿宋" w:eastAsia="仿宋" w:cs="宋体"/>
              </w:rPr>
              <w:t>3</w:t>
            </w:r>
          </w:p>
        </w:tc>
      </w:tr>
      <w:tr>
        <w:tblPrEx>
          <w:tblCellMar>
            <w:top w:w="0" w:type="dxa"/>
            <w:left w:w="108" w:type="dxa"/>
            <w:bottom w:w="0" w:type="dxa"/>
            <w:right w:w="108" w:type="dxa"/>
          </w:tblCellMar>
        </w:tblPrEx>
        <w:trPr>
          <w:trHeight w:val="1410" w:hRule="atLeast"/>
          <w:jc w:val="center"/>
        </w:trPr>
        <w:tc>
          <w:tcPr>
            <w:tcW w:w="685" w:type="dxa"/>
            <w:vMerge w:val="continue"/>
            <w:tcBorders>
              <w:left w:val="single" w:color="auto" w:sz="4" w:space="0"/>
              <w:right w:val="single" w:color="auto" w:sz="4" w:space="0"/>
            </w:tcBorders>
            <w:vAlign w:val="center"/>
          </w:tcPr>
          <w:p>
            <w:pPr>
              <w:rPr>
                <w:rFonts w:hint="eastAsia" w:ascii="仿宋" w:hAnsi="仿宋" w:eastAsia="仿宋" w:cs="宋体"/>
              </w:rPr>
            </w:pP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1071"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还本付息（2分）</w:t>
            </w:r>
          </w:p>
        </w:tc>
        <w:tc>
          <w:tcPr>
            <w:tcW w:w="4914"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评价要点：</w:t>
            </w:r>
          </w:p>
          <w:p>
            <w:pPr>
              <w:rPr>
                <w:rFonts w:hint="eastAsia" w:ascii="仿宋" w:hAnsi="仿宋" w:eastAsia="仿宋" w:cs="宋体"/>
              </w:rPr>
            </w:pPr>
            <w:r>
              <w:rPr>
                <w:rFonts w:hint="eastAsia" w:ascii="仿宋" w:hAnsi="仿宋" w:eastAsia="仿宋" w:cs="宋体"/>
              </w:rPr>
              <w:t>①是否制定专项债券本息偿还计划；（1分）</w:t>
            </w:r>
          </w:p>
          <w:p>
            <w:pPr>
              <w:rPr>
                <w:rFonts w:hint="eastAsia" w:ascii="仿宋" w:hAnsi="仿宋" w:eastAsia="仿宋" w:cs="宋体"/>
              </w:rPr>
            </w:pPr>
            <w:r>
              <w:rPr>
                <w:rFonts w:hint="eastAsia" w:ascii="仿宋" w:hAnsi="仿宋" w:eastAsia="仿宋" w:cs="宋体"/>
              </w:rPr>
              <w:t>②专项债券本息是否及时、足额偿还。（1分）</w:t>
            </w:r>
          </w:p>
          <w:p>
            <w:pPr>
              <w:rPr>
                <w:rFonts w:hint="eastAsia" w:ascii="仿宋" w:hAnsi="仿宋" w:eastAsia="仿宋" w:cs="宋体"/>
              </w:rPr>
            </w:pPr>
            <w:r>
              <w:rPr>
                <w:rFonts w:hint="eastAsia" w:ascii="仿宋" w:hAnsi="仿宋" w:eastAsia="仿宋" w:cs="宋体"/>
              </w:rPr>
              <w:t>满足评价要点①②的，得满分；</w:t>
            </w:r>
          </w:p>
          <w:p>
            <w:pPr>
              <w:rPr>
                <w:rFonts w:hint="eastAsia" w:ascii="仿宋" w:hAnsi="仿宋" w:eastAsia="仿宋" w:cs="宋体"/>
              </w:rPr>
            </w:pPr>
            <w:r>
              <w:rPr>
                <w:rFonts w:hint="eastAsia" w:ascii="仿宋" w:hAnsi="仿宋" w:eastAsia="仿宋" w:cs="宋体"/>
              </w:rPr>
              <w:t>未制定偿还计划的扣1分；</w:t>
            </w:r>
          </w:p>
          <w:p>
            <w:pPr>
              <w:rPr>
                <w:rFonts w:hint="eastAsia" w:ascii="仿宋" w:hAnsi="仿宋" w:eastAsia="仿宋" w:cs="宋体"/>
              </w:rPr>
            </w:pPr>
            <w:r>
              <w:rPr>
                <w:rFonts w:hint="eastAsia" w:ascii="仿宋" w:hAnsi="仿宋" w:eastAsia="仿宋" w:cs="宋体"/>
              </w:rPr>
              <w:t>评分标准：</w:t>
            </w:r>
          </w:p>
          <w:p>
            <w:pPr>
              <w:rPr>
                <w:rFonts w:hint="eastAsia" w:ascii="仿宋" w:hAnsi="仿宋" w:eastAsia="仿宋" w:cs="宋体"/>
                <w:color w:val="auto"/>
              </w:rPr>
            </w:pPr>
            <w:r>
              <w:rPr>
                <w:rFonts w:hint="eastAsia" w:ascii="仿宋" w:hAnsi="仿宋" w:eastAsia="仿宋" w:cs="宋体"/>
              </w:rPr>
              <w:t>存在未按偿还要求及时、足额偿还情况的，该项指标不得分。</w:t>
            </w:r>
          </w:p>
        </w:tc>
        <w:tc>
          <w:tcPr>
            <w:tcW w:w="893" w:type="dxa"/>
            <w:tcBorders>
              <w:top w:val="nil"/>
              <w:left w:val="nil"/>
              <w:bottom w:val="single" w:color="auto" w:sz="4" w:space="0"/>
              <w:right w:val="single" w:color="auto" w:sz="4" w:space="0"/>
            </w:tcBorders>
          </w:tcPr>
          <w:p>
            <w:pPr>
              <w:rPr>
                <w:rFonts w:hint="eastAsia" w:ascii="仿宋" w:hAnsi="仿宋" w:eastAsia="仿宋" w:cs="宋体"/>
              </w:rPr>
            </w:pPr>
            <w:r>
              <w:rPr>
                <w:rFonts w:hint="eastAsia" w:ascii="仿宋" w:hAnsi="仿宋" w:eastAsia="仿宋" w:cs="宋体"/>
              </w:rPr>
              <w:t>1</w:t>
            </w:r>
          </w:p>
        </w:tc>
      </w:tr>
      <w:tr>
        <w:tblPrEx>
          <w:tblCellMar>
            <w:top w:w="0" w:type="dxa"/>
            <w:left w:w="108" w:type="dxa"/>
            <w:bottom w:w="0" w:type="dxa"/>
            <w:right w:w="108" w:type="dxa"/>
          </w:tblCellMar>
        </w:tblPrEx>
        <w:trPr>
          <w:trHeight w:val="557" w:hRule="atLeast"/>
          <w:jc w:val="center"/>
        </w:trPr>
        <w:tc>
          <w:tcPr>
            <w:tcW w:w="685" w:type="dxa"/>
            <w:vMerge w:val="continue"/>
            <w:tcBorders>
              <w:left w:val="single" w:color="auto" w:sz="4" w:space="0"/>
              <w:right w:val="single" w:color="auto" w:sz="4" w:space="0"/>
            </w:tcBorders>
            <w:vAlign w:val="center"/>
          </w:tcPr>
          <w:p>
            <w:pPr>
              <w:rPr>
                <w:rFonts w:hint="eastAsia" w:ascii="仿宋" w:hAnsi="仿宋" w:eastAsia="仿宋" w:cs="宋体"/>
              </w:rPr>
            </w:pP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1071"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风险化解（1分）</w:t>
            </w:r>
          </w:p>
        </w:tc>
        <w:tc>
          <w:tcPr>
            <w:tcW w:w="4914"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评价要点：</w:t>
            </w:r>
          </w:p>
          <w:p>
            <w:pPr>
              <w:rPr>
                <w:rFonts w:hint="eastAsia" w:ascii="仿宋" w:hAnsi="仿宋" w:eastAsia="仿宋" w:cs="宋体"/>
              </w:rPr>
            </w:pPr>
            <w:r>
              <w:rPr>
                <w:rFonts w:hint="eastAsia" w:ascii="仿宋" w:hAnsi="仿宋" w:eastAsia="仿宋" w:cs="宋体"/>
              </w:rPr>
              <w:t>①项目是否制定具体风险防控预案；（0.5分）</w:t>
            </w:r>
          </w:p>
          <w:p>
            <w:pPr>
              <w:rPr>
                <w:rFonts w:hint="eastAsia" w:ascii="仿宋" w:hAnsi="仿宋" w:eastAsia="仿宋" w:cs="宋体"/>
              </w:rPr>
            </w:pPr>
            <w:r>
              <w:rPr>
                <w:rFonts w:hint="eastAsia" w:ascii="仿宋" w:hAnsi="仿宋" w:eastAsia="仿宋" w:cs="宋体"/>
              </w:rPr>
              <w:t>②风险防控预案是否具体、科学可执行。（0.5分）</w:t>
            </w:r>
          </w:p>
          <w:p>
            <w:pPr>
              <w:rPr>
                <w:rFonts w:hint="eastAsia" w:ascii="仿宋" w:hAnsi="仿宋" w:eastAsia="仿宋" w:cs="宋体"/>
              </w:rPr>
            </w:pPr>
            <w:r>
              <w:rPr>
                <w:rFonts w:hint="eastAsia" w:ascii="仿宋" w:hAnsi="仿宋" w:eastAsia="仿宋" w:cs="宋体"/>
              </w:rPr>
              <w:t>满足评价要点①②，各得0.5分；</w:t>
            </w:r>
          </w:p>
          <w:p>
            <w:pPr>
              <w:rPr>
                <w:rFonts w:hint="eastAsia" w:ascii="仿宋" w:hAnsi="仿宋" w:eastAsia="仿宋" w:cs="宋体"/>
              </w:rPr>
            </w:pPr>
            <w:r>
              <w:rPr>
                <w:rFonts w:hint="eastAsia" w:ascii="仿宋" w:hAnsi="仿宋" w:eastAsia="仿宋" w:cs="宋体"/>
              </w:rPr>
              <w:t>评分标准：</w:t>
            </w:r>
          </w:p>
          <w:p>
            <w:pPr>
              <w:rPr>
                <w:rFonts w:hint="eastAsia" w:ascii="仿宋" w:hAnsi="仿宋" w:eastAsia="仿宋" w:cs="宋体"/>
              </w:rPr>
            </w:pPr>
            <w:r>
              <w:rPr>
                <w:rFonts w:hint="eastAsia" w:ascii="仿宋" w:hAnsi="仿宋" w:eastAsia="仿宋" w:cs="宋体"/>
              </w:rPr>
              <w:t>每出现一个评价要点不符合要求的，对应的评价要点分值不得分。</w:t>
            </w:r>
          </w:p>
        </w:tc>
        <w:tc>
          <w:tcPr>
            <w:tcW w:w="893" w:type="dxa"/>
            <w:tcBorders>
              <w:top w:val="nil"/>
              <w:left w:val="nil"/>
              <w:bottom w:val="single" w:color="auto" w:sz="4" w:space="0"/>
              <w:right w:val="single" w:color="auto" w:sz="4" w:space="0"/>
            </w:tcBorders>
          </w:tcPr>
          <w:p>
            <w:pPr>
              <w:rPr>
                <w:rFonts w:hint="eastAsia" w:ascii="仿宋" w:hAnsi="仿宋" w:eastAsia="仿宋" w:cs="宋体"/>
              </w:rPr>
            </w:pPr>
            <w:r>
              <w:rPr>
                <w:rFonts w:hint="eastAsia" w:ascii="仿宋" w:hAnsi="仿宋" w:eastAsia="仿宋" w:cs="宋体"/>
              </w:rPr>
              <w:t>0</w:t>
            </w:r>
          </w:p>
        </w:tc>
      </w:tr>
      <w:tr>
        <w:tblPrEx>
          <w:tblCellMar>
            <w:top w:w="0" w:type="dxa"/>
            <w:left w:w="108" w:type="dxa"/>
            <w:bottom w:w="0" w:type="dxa"/>
            <w:right w:w="108" w:type="dxa"/>
          </w:tblCellMar>
        </w:tblPrEx>
        <w:trPr>
          <w:trHeight w:val="1410" w:hRule="atLeast"/>
          <w:jc w:val="center"/>
        </w:trPr>
        <w:tc>
          <w:tcPr>
            <w:tcW w:w="685" w:type="dxa"/>
            <w:vMerge w:val="continue"/>
            <w:tcBorders>
              <w:left w:val="single" w:color="auto" w:sz="4" w:space="0"/>
              <w:right w:val="single" w:color="auto" w:sz="4" w:space="0"/>
            </w:tcBorders>
            <w:vAlign w:val="center"/>
          </w:tcPr>
          <w:p>
            <w:pPr>
              <w:rPr>
                <w:rFonts w:hint="eastAsia" w:ascii="仿宋" w:hAnsi="仿宋" w:eastAsia="仿宋" w:cs="宋体"/>
              </w:rPr>
            </w:pPr>
          </w:p>
        </w:tc>
        <w:tc>
          <w:tcPr>
            <w:tcW w:w="846"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rPr>
            </w:pPr>
            <w:r>
              <w:rPr>
                <w:rFonts w:hint="eastAsia" w:ascii="仿宋" w:hAnsi="仿宋" w:eastAsia="仿宋" w:cs="宋体"/>
              </w:rPr>
              <w:t>事项管理（9分）</w:t>
            </w:r>
          </w:p>
        </w:tc>
        <w:tc>
          <w:tcPr>
            <w:tcW w:w="1071"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项目管理制度健全性（2分）</w:t>
            </w:r>
          </w:p>
        </w:tc>
        <w:tc>
          <w:tcPr>
            <w:tcW w:w="4914"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评价要点：</w:t>
            </w:r>
          </w:p>
          <w:p>
            <w:pPr>
              <w:rPr>
                <w:rFonts w:hint="eastAsia" w:ascii="仿宋" w:hAnsi="仿宋" w:eastAsia="仿宋" w:cs="宋体"/>
              </w:rPr>
            </w:pPr>
            <w:r>
              <w:rPr>
                <w:rFonts w:hint="eastAsia" w:ascii="仿宋" w:hAnsi="仿宋" w:eastAsia="仿宋" w:cs="宋体"/>
              </w:rPr>
              <w:t>①是否已制定或具有相应的业务管理制度；（1分）</w:t>
            </w:r>
          </w:p>
          <w:p>
            <w:pPr>
              <w:rPr>
                <w:rFonts w:hint="eastAsia" w:ascii="仿宋" w:hAnsi="仿宋" w:eastAsia="仿宋" w:cs="宋体"/>
              </w:rPr>
            </w:pPr>
            <w:r>
              <w:rPr>
                <w:rFonts w:hint="eastAsia" w:ascii="仿宋" w:hAnsi="仿宋" w:eastAsia="仿宋" w:cs="宋体"/>
              </w:rPr>
              <w:t>②业务管理制度是否合法、合规、完整。（1分）</w:t>
            </w:r>
          </w:p>
          <w:p>
            <w:pPr>
              <w:rPr>
                <w:rFonts w:hint="eastAsia" w:ascii="仿宋" w:hAnsi="仿宋" w:eastAsia="仿宋" w:cs="宋体"/>
              </w:rPr>
            </w:pPr>
            <w:r>
              <w:rPr>
                <w:rFonts w:hint="eastAsia" w:ascii="仿宋" w:hAnsi="仿宋" w:eastAsia="仿宋" w:cs="宋体"/>
              </w:rPr>
              <w:t>满足评价要点①，得1分；</w:t>
            </w:r>
          </w:p>
          <w:p>
            <w:pPr>
              <w:rPr>
                <w:rFonts w:hint="eastAsia" w:ascii="仿宋" w:hAnsi="仿宋" w:eastAsia="仿宋" w:cs="宋体"/>
              </w:rPr>
            </w:pPr>
            <w:r>
              <w:rPr>
                <w:rFonts w:hint="eastAsia" w:ascii="仿宋" w:hAnsi="仿宋" w:eastAsia="仿宋" w:cs="宋体"/>
              </w:rPr>
              <w:t>满足评价要点②，得1分；</w:t>
            </w:r>
          </w:p>
          <w:p>
            <w:pPr>
              <w:rPr>
                <w:rFonts w:hint="eastAsia" w:ascii="仿宋" w:hAnsi="仿宋" w:eastAsia="仿宋" w:cs="宋体"/>
              </w:rPr>
            </w:pPr>
            <w:r>
              <w:rPr>
                <w:rFonts w:hint="eastAsia" w:ascii="仿宋" w:hAnsi="仿宋" w:eastAsia="仿宋" w:cs="宋体"/>
              </w:rPr>
              <w:t>评分标准：</w:t>
            </w:r>
          </w:p>
          <w:p>
            <w:pPr>
              <w:rPr>
                <w:rFonts w:hint="eastAsia" w:ascii="仿宋" w:hAnsi="仿宋" w:eastAsia="仿宋" w:cs="宋体"/>
              </w:rPr>
            </w:pPr>
            <w:r>
              <w:rPr>
                <w:rFonts w:hint="eastAsia" w:ascii="仿宋" w:hAnsi="仿宋" w:eastAsia="仿宋" w:cs="宋体"/>
              </w:rPr>
              <w:t>每出现一个评价要点不符合要求的，对应的评价要点分值不得分。</w:t>
            </w:r>
          </w:p>
        </w:tc>
        <w:tc>
          <w:tcPr>
            <w:tcW w:w="893" w:type="dxa"/>
            <w:tcBorders>
              <w:top w:val="nil"/>
              <w:left w:val="nil"/>
              <w:bottom w:val="single" w:color="auto" w:sz="4" w:space="0"/>
              <w:right w:val="single" w:color="auto" w:sz="4" w:space="0"/>
            </w:tcBorders>
          </w:tcPr>
          <w:p>
            <w:pPr>
              <w:rPr>
                <w:rFonts w:hint="eastAsia" w:ascii="仿宋" w:hAnsi="仿宋" w:eastAsia="仿宋" w:cs="宋体"/>
              </w:rPr>
            </w:pPr>
            <w:r>
              <w:rPr>
                <w:rFonts w:hint="eastAsia" w:ascii="仿宋" w:hAnsi="仿宋" w:eastAsia="仿宋" w:cs="宋体"/>
              </w:rPr>
              <w:t>1</w:t>
            </w:r>
          </w:p>
        </w:tc>
      </w:tr>
      <w:tr>
        <w:tblPrEx>
          <w:tblCellMar>
            <w:top w:w="0" w:type="dxa"/>
            <w:left w:w="108" w:type="dxa"/>
            <w:bottom w:w="0" w:type="dxa"/>
            <w:right w:w="108" w:type="dxa"/>
          </w:tblCellMar>
        </w:tblPrEx>
        <w:trPr>
          <w:trHeight w:val="1410" w:hRule="atLeast"/>
          <w:jc w:val="center"/>
        </w:trPr>
        <w:tc>
          <w:tcPr>
            <w:tcW w:w="685" w:type="dxa"/>
            <w:vMerge w:val="continue"/>
            <w:tcBorders>
              <w:left w:val="single" w:color="auto" w:sz="4" w:space="0"/>
              <w:right w:val="single" w:color="auto" w:sz="4" w:space="0"/>
            </w:tcBorders>
            <w:vAlign w:val="center"/>
          </w:tcPr>
          <w:p>
            <w:pPr>
              <w:rPr>
                <w:rFonts w:hint="eastAsia" w:ascii="仿宋" w:hAnsi="仿宋" w:eastAsia="仿宋" w:cs="宋体"/>
              </w:rPr>
            </w:pP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1071"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程序执行有效性（5分）</w:t>
            </w:r>
          </w:p>
        </w:tc>
        <w:tc>
          <w:tcPr>
            <w:tcW w:w="4914"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评价要点：</w:t>
            </w:r>
          </w:p>
          <w:p>
            <w:pPr>
              <w:rPr>
                <w:rFonts w:hint="eastAsia" w:ascii="仿宋" w:hAnsi="仿宋" w:eastAsia="仿宋" w:cs="宋体"/>
              </w:rPr>
            </w:pPr>
            <w:r>
              <w:rPr>
                <w:rFonts w:hint="eastAsia" w:ascii="仿宋" w:hAnsi="仿宋" w:eastAsia="仿宋" w:cs="宋体"/>
              </w:rPr>
              <w:t>1.前期工作开展是否按照相关的业务管理规定实施；</w:t>
            </w:r>
          </w:p>
          <w:p>
            <w:pPr>
              <w:rPr>
                <w:rFonts w:hint="eastAsia" w:ascii="仿宋" w:hAnsi="仿宋" w:eastAsia="仿宋" w:cs="宋体"/>
              </w:rPr>
            </w:pPr>
            <w:r>
              <w:rPr>
                <w:rFonts w:hint="eastAsia" w:ascii="仿宋" w:hAnsi="仿宋" w:eastAsia="仿宋" w:cs="宋体"/>
              </w:rPr>
              <w:t>2.项目施工阶段各项工作是否严格按照有关程序执行，工程设计、施工、监理等工作规范实施；</w:t>
            </w:r>
          </w:p>
          <w:p>
            <w:pPr>
              <w:rPr>
                <w:rFonts w:hint="eastAsia" w:ascii="仿宋" w:hAnsi="仿宋" w:eastAsia="仿宋" w:cs="宋体"/>
              </w:rPr>
            </w:pPr>
            <w:r>
              <w:rPr>
                <w:rFonts w:hint="eastAsia" w:ascii="仿宋" w:hAnsi="仿宋" w:eastAsia="仿宋" w:cs="宋体"/>
              </w:rPr>
              <w:t>3.项目质量管理及竣工验收等是否严格执行《建设工程质量管理条例》《建设工程项目管理规范》等相关制度规定；</w:t>
            </w:r>
          </w:p>
          <w:p>
            <w:pPr>
              <w:rPr>
                <w:rFonts w:hint="eastAsia" w:ascii="仿宋" w:hAnsi="仿宋" w:eastAsia="仿宋" w:cs="宋体"/>
              </w:rPr>
            </w:pPr>
            <w:r>
              <w:rPr>
                <w:rFonts w:hint="eastAsia" w:ascii="仿宋" w:hAnsi="仿宋" w:eastAsia="仿宋" w:cs="宋体"/>
              </w:rPr>
              <w:t>4.项目工程结算、竣工财务决算是否按规定及时办结；</w:t>
            </w:r>
          </w:p>
          <w:p>
            <w:pPr>
              <w:rPr>
                <w:rFonts w:hint="eastAsia" w:ascii="仿宋" w:hAnsi="仿宋" w:eastAsia="仿宋" w:cs="宋体"/>
              </w:rPr>
            </w:pPr>
            <w:r>
              <w:rPr>
                <w:rFonts w:hint="eastAsia" w:ascii="仿宋" w:hAnsi="仿宋" w:eastAsia="仿宋" w:cs="宋体"/>
              </w:rPr>
              <w:t>5.审计、会计信息质量检查、绩效评价等监督、检查发现问题整改情况。</w:t>
            </w:r>
          </w:p>
          <w:p>
            <w:pPr>
              <w:rPr>
                <w:rFonts w:hint="eastAsia" w:ascii="仿宋" w:hAnsi="仿宋" w:eastAsia="仿宋" w:cs="宋体"/>
              </w:rPr>
            </w:pPr>
            <w:r>
              <w:rPr>
                <w:rFonts w:hint="eastAsia" w:ascii="仿宋" w:hAnsi="仿宋" w:eastAsia="仿宋" w:cs="宋体"/>
              </w:rPr>
              <w:t>评分标准：</w:t>
            </w:r>
          </w:p>
          <w:p>
            <w:pPr>
              <w:rPr>
                <w:rFonts w:hint="eastAsia" w:ascii="仿宋" w:hAnsi="仿宋" w:eastAsia="仿宋" w:cs="宋体"/>
              </w:rPr>
            </w:pPr>
            <w:r>
              <w:rPr>
                <w:rFonts w:hint="eastAsia" w:ascii="仿宋" w:hAnsi="仿宋" w:eastAsia="仿宋" w:cs="宋体"/>
              </w:rPr>
              <w:t>满足评价要点①，得1分，前期工作合规，得1分；否则不得分，存在其他情况，结合实际扣减分数。；</w:t>
            </w:r>
          </w:p>
          <w:p>
            <w:pPr>
              <w:rPr>
                <w:rFonts w:hint="eastAsia" w:ascii="仿宋" w:hAnsi="仿宋" w:eastAsia="仿宋" w:cs="宋体"/>
              </w:rPr>
            </w:pPr>
            <w:r>
              <w:rPr>
                <w:rFonts w:hint="eastAsia" w:ascii="仿宋" w:hAnsi="仿宋" w:eastAsia="仿宋" w:cs="宋体"/>
              </w:rPr>
              <w:t>满足评价要点②，得1分；存在不规范的情况，不得分，存在其他情况，结合实际扣减分数。</w:t>
            </w:r>
          </w:p>
          <w:p>
            <w:pPr>
              <w:rPr>
                <w:rFonts w:hint="eastAsia" w:ascii="仿宋" w:hAnsi="仿宋" w:eastAsia="仿宋" w:cs="宋体"/>
              </w:rPr>
            </w:pPr>
            <w:r>
              <w:rPr>
                <w:rFonts w:hint="eastAsia" w:ascii="仿宋" w:hAnsi="仿宋" w:eastAsia="仿宋" w:cs="宋体"/>
              </w:rPr>
              <w:t>满足评价要点③，严格执行得1分；未按照有关制度执行，不得分。</w:t>
            </w:r>
          </w:p>
          <w:p>
            <w:pPr>
              <w:rPr>
                <w:rFonts w:hint="eastAsia" w:ascii="仿宋" w:hAnsi="仿宋" w:eastAsia="仿宋" w:cs="宋体"/>
              </w:rPr>
            </w:pPr>
            <w:r>
              <w:rPr>
                <w:rFonts w:hint="eastAsia" w:ascii="仿宋" w:hAnsi="仿宋" w:eastAsia="仿宋" w:cs="宋体"/>
              </w:rPr>
              <w:t>满足评价要点④，及时办结，得1分；未及时办结，不得分，存在其他情况，结合实际扣减分数。</w:t>
            </w:r>
          </w:p>
          <w:p>
            <w:pPr>
              <w:rPr>
                <w:rFonts w:hint="eastAsia" w:ascii="仿宋" w:hAnsi="仿宋" w:eastAsia="仿宋" w:cs="宋体"/>
              </w:rPr>
            </w:pPr>
            <w:r>
              <w:rPr>
                <w:rFonts w:hint="eastAsia" w:ascii="仿宋" w:hAnsi="仿宋" w:eastAsia="仿宋" w:cs="宋体"/>
              </w:rPr>
              <w:t>满足评价要点⑤，按时完成整改，得1分；规定时间内完成部分整改，得0.5分；未有整改结果，不得分。</w:t>
            </w:r>
          </w:p>
        </w:tc>
        <w:tc>
          <w:tcPr>
            <w:tcW w:w="893" w:type="dxa"/>
            <w:tcBorders>
              <w:top w:val="nil"/>
              <w:left w:val="nil"/>
              <w:bottom w:val="single" w:color="auto" w:sz="4" w:space="0"/>
              <w:right w:val="single" w:color="auto" w:sz="4" w:space="0"/>
            </w:tcBorders>
          </w:tcPr>
          <w:p>
            <w:pPr>
              <w:rPr>
                <w:rFonts w:hint="eastAsia" w:ascii="仿宋" w:hAnsi="仿宋" w:eastAsia="仿宋" w:cs="宋体"/>
              </w:rPr>
            </w:pPr>
            <w:r>
              <w:rPr>
                <w:rFonts w:hint="eastAsia" w:ascii="仿宋" w:hAnsi="仿宋" w:eastAsia="仿宋" w:cs="宋体"/>
              </w:rPr>
              <w:t>2</w:t>
            </w:r>
          </w:p>
        </w:tc>
      </w:tr>
      <w:tr>
        <w:tblPrEx>
          <w:tblCellMar>
            <w:top w:w="0" w:type="dxa"/>
            <w:left w:w="108" w:type="dxa"/>
            <w:bottom w:w="0" w:type="dxa"/>
            <w:right w:w="108" w:type="dxa"/>
          </w:tblCellMar>
        </w:tblPrEx>
        <w:trPr>
          <w:trHeight w:val="1410" w:hRule="atLeast"/>
          <w:jc w:val="center"/>
        </w:trPr>
        <w:tc>
          <w:tcPr>
            <w:tcW w:w="685"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1071"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信息公开（2分）</w:t>
            </w:r>
          </w:p>
        </w:tc>
        <w:tc>
          <w:tcPr>
            <w:tcW w:w="4914"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评价要点：</w:t>
            </w:r>
          </w:p>
          <w:p>
            <w:pPr>
              <w:rPr>
                <w:rFonts w:hint="eastAsia" w:ascii="仿宋" w:hAnsi="仿宋" w:eastAsia="仿宋" w:cs="宋体"/>
              </w:rPr>
            </w:pPr>
            <w:r>
              <w:rPr>
                <w:rFonts w:hint="eastAsia" w:ascii="仿宋" w:hAnsi="仿宋" w:eastAsia="仿宋" w:cs="宋体"/>
              </w:rPr>
              <w:t>①专项债券项目各项信息是否及时公开；（1分）</w:t>
            </w:r>
          </w:p>
          <w:p>
            <w:pPr>
              <w:rPr>
                <w:rFonts w:hint="eastAsia" w:ascii="仿宋" w:hAnsi="仿宋" w:eastAsia="仿宋" w:cs="宋体"/>
              </w:rPr>
            </w:pPr>
            <w:r>
              <w:rPr>
                <w:rFonts w:hint="eastAsia" w:ascii="仿宋" w:hAnsi="仿宋" w:eastAsia="仿宋" w:cs="宋体"/>
              </w:rPr>
              <w:t>②专项债券项目信息公开内容是否准确。（1分）</w:t>
            </w:r>
          </w:p>
          <w:p>
            <w:pPr>
              <w:rPr>
                <w:rFonts w:hint="eastAsia" w:ascii="仿宋" w:hAnsi="仿宋" w:eastAsia="仿宋" w:cs="宋体"/>
              </w:rPr>
            </w:pPr>
            <w:r>
              <w:rPr>
                <w:rFonts w:hint="eastAsia" w:ascii="仿宋" w:hAnsi="仿宋" w:eastAsia="仿宋" w:cs="宋体"/>
              </w:rPr>
              <w:t>满足评价要点①②的，各得1分；</w:t>
            </w:r>
          </w:p>
          <w:p>
            <w:pPr>
              <w:rPr>
                <w:rFonts w:hint="eastAsia" w:ascii="仿宋" w:hAnsi="仿宋" w:eastAsia="仿宋" w:cs="宋体"/>
              </w:rPr>
            </w:pPr>
            <w:r>
              <w:rPr>
                <w:rFonts w:hint="eastAsia" w:ascii="仿宋" w:hAnsi="仿宋" w:eastAsia="仿宋" w:cs="宋体"/>
              </w:rPr>
              <w:t>评分标准：</w:t>
            </w:r>
          </w:p>
          <w:p>
            <w:pPr>
              <w:rPr>
                <w:rFonts w:hint="eastAsia" w:ascii="仿宋" w:hAnsi="仿宋" w:eastAsia="仿宋" w:cs="宋体"/>
              </w:rPr>
            </w:pPr>
            <w:r>
              <w:rPr>
                <w:rFonts w:hint="eastAsia" w:ascii="仿宋" w:hAnsi="仿宋" w:eastAsia="仿宋" w:cs="宋体"/>
              </w:rPr>
              <w:t>出现与评价要点不符合的情况，对应的评价要点分值不得分。</w:t>
            </w:r>
          </w:p>
        </w:tc>
        <w:tc>
          <w:tcPr>
            <w:tcW w:w="893" w:type="dxa"/>
            <w:tcBorders>
              <w:top w:val="nil"/>
              <w:left w:val="nil"/>
              <w:bottom w:val="single" w:color="auto" w:sz="4" w:space="0"/>
              <w:right w:val="single" w:color="auto" w:sz="4" w:space="0"/>
            </w:tcBorders>
          </w:tcPr>
          <w:p>
            <w:pPr>
              <w:rPr>
                <w:rFonts w:hint="eastAsia" w:ascii="仿宋" w:hAnsi="仿宋" w:eastAsia="仿宋" w:cs="宋体"/>
              </w:rPr>
            </w:pPr>
            <w:r>
              <w:rPr>
                <w:rFonts w:hint="eastAsia" w:ascii="仿宋" w:hAnsi="仿宋" w:eastAsia="仿宋" w:cs="宋体"/>
              </w:rPr>
              <w:t>0</w:t>
            </w:r>
          </w:p>
        </w:tc>
      </w:tr>
      <w:tr>
        <w:tblPrEx>
          <w:tblCellMar>
            <w:top w:w="0" w:type="dxa"/>
            <w:left w:w="108" w:type="dxa"/>
            <w:bottom w:w="0" w:type="dxa"/>
            <w:right w:w="108" w:type="dxa"/>
          </w:tblCellMar>
        </w:tblPrEx>
        <w:trPr>
          <w:trHeight w:val="1132" w:hRule="atLeast"/>
          <w:jc w:val="center"/>
        </w:trPr>
        <w:tc>
          <w:tcPr>
            <w:tcW w:w="6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产出（31分）</w:t>
            </w:r>
          </w:p>
        </w:tc>
        <w:tc>
          <w:tcPr>
            <w:tcW w:w="846"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产出数量（16分）</w:t>
            </w:r>
          </w:p>
        </w:tc>
        <w:tc>
          <w:tcPr>
            <w:tcW w:w="1071"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改造面积（m</w:t>
            </w:r>
            <w:r>
              <w:rPr>
                <w:rFonts w:hint="eastAsia" w:ascii="仿宋" w:hAnsi="仿宋" w:eastAsia="仿宋" w:cs="宋体"/>
                <w:vertAlign w:val="superscript"/>
              </w:rPr>
              <w:t>2</w:t>
            </w:r>
            <w:r>
              <w:rPr>
                <w:rFonts w:hint="eastAsia" w:ascii="仿宋" w:hAnsi="仿宋" w:eastAsia="仿宋" w:cs="宋体"/>
              </w:rPr>
              <w:t>）（4分）</w:t>
            </w:r>
          </w:p>
        </w:tc>
        <w:tc>
          <w:tcPr>
            <w:tcW w:w="4914"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评价要点：</w:t>
            </w:r>
          </w:p>
          <w:p>
            <w:pPr>
              <w:rPr>
                <w:rFonts w:hint="eastAsia" w:ascii="仿宋" w:hAnsi="仿宋" w:eastAsia="仿宋" w:cs="宋体"/>
              </w:rPr>
            </w:pPr>
            <w:r>
              <w:rPr>
                <w:rFonts w:hint="eastAsia" w:ascii="仿宋" w:hAnsi="仿宋" w:eastAsia="仿宋" w:cs="宋体"/>
              </w:rPr>
              <w:t>提升项目完成后改造面积大于等于计划目标值得满分，小于目标值按比例得分。</w:t>
            </w:r>
          </w:p>
        </w:tc>
        <w:tc>
          <w:tcPr>
            <w:tcW w:w="893" w:type="dxa"/>
            <w:tcBorders>
              <w:top w:val="nil"/>
              <w:left w:val="nil"/>
              <w:bottom w:val="single" w:color="auto" w:sz="4" w:space="0"/>
              <w:right w:val="single" w:color="auto" w:sz="4" w:space="0"/>
            </w:tcBorders>
          </w:tcPr>
          <w:p>
            <w:pPr>
              <w:rPr>
                <w:rFonts w:hint="eastAsia" w:ascii="仿宋" w:hAnsi="仿宋" w:eastAsia="仿宋" w:cs="宋体"/>
              </w:rPr>
            </w:pPr>
            <w:r>
              <w:rPr>
                <w:rFonts w:hint="eastAsia" w:ascii="仿宋" w:hAnsi="仿宋" w:eastAsia="仿宋" w:cs="宋体"/>
              </w:rPr>
              <w:t>3.45</w:t>
            </w:r>
          </w:p>
        </w:tc>
      </w:tr>
      <w:tr>
        <w:tblPrEx>
          <w:tblCellMar>
            <w:top w:w="0" w:type="dxa"/>
            <w:left w:w="108" w:type="dxa"/>
            <w:bottom w:w="0" w:type="dxa"/>
            <w:right w:w="108" w:type="dxa"/>
          </w:tblCellMar>
        </w:tblPrEx>
        <w:trPr>
          <w:trHeight w:val="825" w:hRule="atLeast"/>
          <w:jc w:val="center"/>
        </w:trPr>
        <w:tc>
          <w:tcPr>
            <w:tcW w:w="68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846"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宋体"/>
              </w:rPr>
            </w:pPr>
          </w:p>
        </w:tc>
        <w:tc>
          <w:tcPr>
            <w:tcW w:w="1071"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新增/改造病床数量（4分）</w:t>
            </w:r>
          </w:p>
        </w:tc>
        <w:tc>
          <w:tcPr>
            <w:tcW w:w="4914"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评价要点：</w:t>
            </w:r>
          </w:p>
          <w:p>
            <w:pPr>
              <w:rPr>
                <w:rFonts w:hint="eastAsia" w:ascii="仿宋" w:hAnsi="仿宋" w:eastAsia="仿宋" w:cs="宋体"/>
              </w:rPr>
            </w:pPr>
            <w:r>
              <w:rPr>
                <w:rFonts w:hint="eastAsia" w:ascii="仿宋" w:hAnsi="仿宋" w:eastAsia="仿宋" w:cs="宋体"/>
              </w:rPr>
              <w:t>提升项目完成后床位增加数大于等于计划目标值得满分，小于目标值按比例得分。</w:t>
            </w:r>
          </w:p>
        </w:tc>
        <w:tc>
          <w:tcPr>
            <w:tcW w:w="893" w:type="dxa"/>
            <w:tcBorders>
              <w:top w:val="nil"/>
              <w:left w:val="nil"/>
              <w:bottom w:val="single" w:color="auto" w:sz="4" w:space="0"/>
              <w:right w:val="single" w:color="auto" w:sz="4" w:space="0"/>
            </w:tcBorders>
          </w:tcPr>
          <w:p>
            <w:pPr>
              <w:rPr>
                <w:rFonts w:hint="eastAsia" w:ascii="仿宋" w:hAnsi="仿宋" w:eastAsia="仿宋" w:cs="宋体"/>
              </w:rPr>
            </w:pPr>
            <w:r>
              <w:rPr>
                <w:rFonts w:hint="eastAsia" w:ascii="仿宋" w:hAnsi="仿宋" w:eastAsia="仿宋" w:cs="宋体"/>
              </w:rPr>
              <w:t>4</w:t>
            </w:r>
          </w:p>
        </w:tc>
      </w:tr>
      <w:tr>
        <w:tblPrEx>
          <w:tblCellMar>
            <w:top w:w="0" w:type="dxa"/>
            <w:left w:w="108" w:type="dxa"/>
            <w:bottom w:w="0" w:type="dxa"/>
            <w:right w:w="108" w:type="dxa"/>
          </w:tblCellMar>
        </w:tblPrEx>
        <w:trPr>
          <w:trHeight w:val="825" w:hRule="atLeast"/>
          <w:jc w:val="center"/>
        </w:trPr>
        <w:tc>
          <w:tcPr>
            <w:tcW w:w="68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846"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宋体"/>
              </w:rPr>
            </w:pPr>
          </w:p>
        </w:tc>
        <w:tc>
          <w:tcPr>
            <w:tcW w:w="1071"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新增医疗设备数量（4分）</w:t>
            </w:r>
          </w:p>
        </w:tc>
        <w:tc>
          <w:tcPr>
            <w:tcW w:w="4914"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评价要点：</w:t>
            </w:r>
          </w:p>
          <w:p>
            <w:pPr>
              <w:rPr>
                <w:rFonts w:hint="eastAsia" w:ascii="仿宋" w:hAnsi="仿宋" w:eastAsia="仿宋" w:cs="宋体"/>
              </w:rPr>
            </w:pPr>
            <w:r>
              <w:rPr>
                <w:rFonts w:hint="eastAsia" w:ascii="仿宋" w:hAnsi="仿宋" w:eastAsia="仿宋" w:cs="宋体"/>
              </w:rPr>
              <w:t>提升项目完成后新增的医疗设备数达到目标值得满分，小于目标值按比例得分。</w:t>
            </w:r>
          </w:p>
        </w:tc>
        <w:tc>
          <w:tcPr>
            <w:tcW w:w="893" w:type="dxa"/>
            <w:tcBorders>
              <w:top w:val="nil"/>
              <w:left w:val="nil"/>
              <w:bottom w:val="single" w:color="auto" w:sz="4" w:space="0"/>
              <w:right w:val="single" w:color="auto" w:sz="4" w:space="0"/>
            </w:tcBorders>
          </w:tcPr>
          <w:p>
            <w:pPr>
              <w:rPr>
                <w:rFonts w:hint="eastAsia" w:ascii="仿宋" w:hAnsi="仿宋" w:eastAsia="仿宋" w:cs="宋体"/>
              </w:rPr>
            </w:pPr>
            <w:r>
              <w:rPr>
                <w:rFonts w:hint="eastAsia" w:ascii="仿宋" w:hAnsi="仿宋" w:eastAsia="仿宋" w:cs="宋体"/>
              </w:rPr>
              <w:t>4</w:t>
            </w:r>
          </w:p>
        </w:tc>
      </w:tr>
      <w:tr>
        <w:tblPrEx>
          <w:tblCellMar>
            <w:top w:w="0" w:type="dxa"/>
            <w:left w:w="108" w:type="dxa"/>
            <w:bottom w:w="0" w:type="dxa"/>
            <w:right w:w="108" w:type="dxa"/>
          </w:tblCellMar>
        </w:tblPrEx>
        <w:trPr>
          <w:trHeight w:val="825" w:hRule="atLeast"/>
          <w:jc w:val="center"/>
        </w:trPr>
        <w:tc>
          <w:tcPr>
            <w:tcW w:w="68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846"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p>
        </w:tc>
        <w:tc>
          <w:tcPr>
            <w:tcW w:w="1071"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每职工年诊疗人次（4分）</w:t>
            </w:r>
          </w:p>
        </w:tc>
        <w:tc>
          <w:tcPr>
            <w:tcW w:w="4914"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评价要点：</w:t>
            </w:r>
          </w:p>
          <w:p>
            <w:pPr>
              <w:rPr>
                <w:rFonts w:hint="eastAsia" w:ascii="仿宋" w:hAnsi="仿宋" w:eastAsia="仿宋" w:cs="宋体"/>
              </w:rPr>
            </w:pPr>
            <w:r>
              <w:rPr>
                <w:rFonts w:hint="eastAsia" w:ascii="仿宋" w:hAnsi="仿宋" w:eastAsia="仿宋" w:cs="宋体"/>
              </w:rPr>
              <w:t>提升项目完成后每职工年门诊人次大于等于计划目标值得满分，小于目标值按比例得分。</w:t>
            </w:r>
          </w:p>
        </w:tc>
        <w:tc>
          <w:tcPr>
            <w:tcW w:w="893" w:type="dxa"/>
            <w:tcBorders>
              <w:top w:val="nil"/>
              <w:left w:val="nil"/>
              <w:bottom w:val="single" w:color="auto" w:sz="4" w:space="0"/>
              <w:right w:val="single" w:color="auto" w:sz="4" w:space="0"/>
            </w:tcBorders>
          </w:tcPr>
          <w:p>
            <w:pPr>
              <w:rPr>
                <w:rFonts w:hint="eastAsia" w:ascii="仿宋" w:hAnsi="仿宋" w:eastAsia="仿宋" w:cs="宋体"/>
              </w:rPr>
            </w:pPr>
            <w:r>
              <w:rPr>
                <w:rFonts w:hint="eastAsia" w:ascii="仿宋" w:hAnsi="仿宋" w:eastAsia="仿宋" w:cs="宋体"/>
              </w:rPr>
              <w:t>4</w:t>
            </w:r>
          </w:p>
        </w:tc>
      </w:tr>
      <w:tr>
        <w:tblPrEx>
          <w:tblCellMar>
            <w:top w:w="0" w:type="dxa"/>
            <w:left w:w="108" w:type="dxa"/>
            <w:bottom w:w="0" w:type="dxa"/>
            <w:right w:w="108" w:type="dxa"/>
          </w:tblCellMar>
        </w:tblPrEx>
        <w:trPr>
          <w:trHeight w:val="825" w:hRule="atLeast"/>
          <w:jc w:val="center"/>
        </w:trPr>
        <w:tc>
          <w:tcPr>
            <w:tcW w:w="68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846" w:type="dxa"/>
            <w:vMerge w:val="restart"/>
            <w:tcBorders>
              <w:top w:val="nil"/>
              <w:left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产出 质量（7分）</w:t>
            </w:r>
          </w:p>
        </w:tc>
        <w:tc>
          <w:tcPr>
            <w:tcW w:w="1071"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工程设计变更率（3分）</w:t>
            </w:r>
          </w:p>
        </w:tc>
        <w:tc>
          <w:tcPr>
            <w:tcW w:w="4914"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评价要点：</w:t>
            </w:r>
          </w:p>
          <w:p>
            <w:pPr>
              <w:rPr>
                <w:rFonts w:hint="eastAsia" w:ascii="仿宋" w:hAnsi="仿宋" w:eastAsia="仿宋"/>
              </w:rPr>
            </w:pPr>
            <w:r>
              <w:rPr>
                <w:rFonts w:hint="eastAsia" w:ascii="仿宋" w:hAnsi="仿宋" w:eastAsia="仿宋" w:cs="宋体"/>
              </w:rPr>
              <w:t>设计变更率≤5%（3分），5%＜设计变更率≤10%（2分），10%＜设计变更率≤15%（1分），≥15%（0分）。</w:t>
            </w:r>
          </w:p>
        </w:tc>
        <w:tc>
          <w:tcPr>
            <w:tcW w:w="893" w:type="dxa"/>
            <w:tcBorders>
              <w:top w:val="nil"/>
              <w:left w:val="nil"/>
              <w:bottom w:val="single" w:color="auto" w:sz="4" w:space="0"/>
              <w:right w:val="single" w:color="auto" w:sz="4" w:space="0"/>
            </w:tcBorders>
          </w:tcPr>
          <w:p>
            <w:pPr>
              <w:rPr>
                <w:rFonts w:hint="eastAsia" w:ascii="仿宋" w:hAnsi="仿宋" w:eastAsia="仿宋" w:cs="宋体"/>
              </w:rPr>
            </w:pPr>
            <w:r>
              <w:rPr>
                <w:rFonts w:hint="eastAsia" w:ascii="仿宋" w:hAnsi="仿宋" w:eastAsia="仿宋" w:cs="宋体"/>
              </w:rPr>
              <w:t>3</w:t>
            </w:r>
          </w:p>
        </w:tc>
      </w:tr>
      <w:tr>
        <w:tblPrEx>
          <w:tblCellMar>
            <w:top w:w="0" w:type="dxa"/>
            <w:left w:w="108" w:type="dxa"/>
            <w:bottom w:w="0" w:type="dxa"/>
            <w:right w:w="108" w:type="dxa"/>
          </w:tblCellMar>
        </w:tblPrEx>
        <w:trPr>
          <w:trHeight w:val="825" w:hRule="atLeast"/>
          <w:jc w:val="center"/>
        </w:trPr>
        <w:tc>
          <w:tcPr>
            <w:tcW w:w="68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846"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p>
        </w:tc>
        <w:tc>
          <w:tcPr>
            <w:tcW w:w="1071"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项目竣工验收合格率（4分）</w:t>
            </w:r>
          </w:p>
        </w:tc>
        <w:tc>
          <w:tcPr>
            <w:tcW w:w="4914"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评价要点：</w:t>
            </w:r>
          </w:p>
          <w:p>
            <w:pPr>
              <w:rPr>
                <w:rFonts w:hint="eastAsia" w:ascii="仿宋" w:hAnsi="仿宋" w:eastAsia="仿宋" w:cs="宋体"/>
              </w:rPr>
            </w:pPr>
            <w:r>
              <w:rPr>
                <w:rFonts w:hint="eastAsia" w:ascii="仿宋" w:hAnsi="仿宋" w:eastAsia="仿宋" w:cs="宋体"/>
              </w:rPr>
              <w:t>项目的质量达标情况，根据评价对象和项目具体情况设置。</w:t>
            </w:r>
          </w:p>
          <w:p>
            <w:pPr>
              <w:rPr>
                <w:rFonts w:hint="eastAsia" w:ascii="仿宋" w:hAnsi="仿宋" w:eastAsia="仿宋" w:cs="宋体"/>
              </w:rPr>
            </w:pPr>
            <w:r>
              <w:rPr>
                <w:rFonts w:hint="eastAsia" w:ascii="仿宋" w:hAnsi="仿宋" w:eastAsia="仿宋" w:cs="宋体"/>
              </w:rPr>
              <w:t>评分标准：</w:t>
            </w:r>
          </w:p>
          <w:p>
            <w:pPr>
              <w:rPr>
                <w:rFonts w:hint="eastAsia" w:ascii="仿宋" w:hAnsi="仿宋" w:eastAsia="仿宋" w:cs="宋体"/>
              </w:rPr>
            </w:pPr>
            <w:r>
              <w:rPr>
                <w:rFonts w:hint="eastAsia" w:ascii="仿宋" w:hAnsi="仿宋" w:eastAsia="仿宋" w:cs="宋体"/>
              </w:rPr>
              <w:t>项目验收合格率100%得满分，每小于5%扣1分。≤80%不得分。</w:t>
            </w:r>
          </w:p>
        </w:tc>
        <w:tc>
          <w:tcPr>
            <w:tcW w:w="893" w:type="dxa"/>
            <w:tcBorders>
              <w:top w:val="nil"/>
              <w:left w:val="nil"/>
              <w:bottom w:val="single" w:color="auto" w:sz="4" w:space="0"/>
              <w:right w:val="single" w:color="auto" w:sz="4" w:space="0"/>
            </w:tcBorders>
          </w:tcPr>
          <w:p>
            <w:pPr>
              <w:rPr>
                <w:rFonts w:hint="eastAsia" w:ascii="仿宋" w:hAnsi="仿宋" w:eastAsia="仿宋" w:cs="宋体"/>
              </w:rPr>
            </w:pPr>
            <w:r>
              <w:rPr>
                <w:rFonts w:hint="eastAsia" w:ascii="仿宋" w:hAnsi="仿宋" w:eastAsia="仿宋" w:cs="宋体"/>
              </w:rPr>
              <w:t>4</w:t>
            </w:r>
          </w:p>
        </w:tc>
      </w:tr>
      <w:tr>
        <w:tblPrEx>
          <w:tblCellMar>
            <w:top w:w="0" w:type="dxa"/>
            <w:left w:w="108" w:type="dxa"/>
            <w:bottom w:w="0" w:type="dxa"/>
            <w:right w:w="108" w:type="dxa"/>
          </w:tblCellMar>
        </w:tblPrEx>
        <w:trPr>
          <w:trHeight w:val="825" w:hRule="atLeast"/>
          <w:jc w:val="center"/>
        </w:trPr>
        <w:tc>
          <w:tcPr>
            <w:tcW w:w="68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产出成本（4分）</w:t>
            </w:r>
          </w:p>
        </w:tc>
        <w:tc>
          <w:tcPr>
            <w:tcW w:w="1071"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成本控制率（4分）</w:t>
            </w:r>
          </w:p>
        </w:tc>
        <w:tc>
          <w:tcPr>
            <w:tcW w:w="4914"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评价要点：</w:t>
            </w:r>
          </w:p>
          <w:p>
            <w:pPr>
              <w:rPr>
                <w:rFonts w:hint="eastAsia" w:ascii="仿宋" w:hAnsi="仿宋" w:eastAsia="仿宋" w:cs="宋体"/>
              </w:rPr>
            </w:pPr>
            <w:r>
              <w:rPr>
                <w:rFonts w:hint="eastAsia" w:ascii="仿宋" w:hAnsi="仿宋" w:eastAsia="仿宋" w:cs="宋体"/>
              </w:rPr>
              <w:t>成本控制率=（实际成本-计划成本）/计划成本×100%；</w:t>
            </w:r>
          </w:p>
          <w:p>
            <w:pPr>
              <w:rPr>
                <w:rFonts w:hint="eastAsia" w:ascii="仿宋" w:hAnsi="仿宋" w:eastAsia="仿宋"/>
              </w:rPr>
            </w:pPr>
            <w:r>
              <w:rPr>
                <w:rFonts w:hint="eastAsia" w:ascii="仿宋" w:hAnsi="仿宋" w:eastAsia="仿宋" w:cs="宋体"/>
              </w:rPr>
              <w:t>成本控制率≤0，得4分，否则不得分。</w:t>
            </w:r>
          </w:p>
        </w:tc>
        <w:tc>
          <w:tcPr>
            <w:tcW w:w="893" w:type="dxa"/>
            <w:tcBorders>
              <w:top w:val="nil"/>
              <w:left w:val="nil"/>
              <w:bottom w:val="single" w:color="auto" w:sz="4" w:space="0"/>
              <w:right w:val="single" w:color="auto" w:sz="4" w:space="0"/>
            </w:tcBorders>
          </w:tcPr>
          <w:p>
            <w:pPr>
              <w:rPr>
                <w:rFonts w:hint="eastAsia" w:ascii="仿宋" w:hAnsi="仿宋" w:eastAsia="仿宋" w:cs="宋体"/>
              </w:rPr>
            </w:pPr>
            <w:r>
              <w:rPr>
                <w:rFonts w:hint="eastAsia" w:ascii="仿宋" w:hAnsi="仿宋" w:eastAsia="仿宋" w:cs="宋体"/>
              </w:rPr>
              <w:t>4</w:t>
            </w:r>
          </w:p>
        </w:tc>
      </w:tr>
      <w:tr>
        <w:tblPrEx>
          <w:tblCellMar>
            <w:top w:w="0" w:type="dxa"/>
            <w:left w:w="108" w:type="dxa"/>
            <w:bottom w:w="0" w:type="dxa"/>
            <w:right w:w="108" w:type="dxa"/>
          </w:tblCellMar>
        </w:tblPrEx>
        <w:trPr>
          <w:trHeight w:val="825" w:hRule="atLeast"/>
          <w:jc w:val="center"/>
        </w:trPr>
        <w:tc>
          <w:tcPr>
            <w:tcW w:w="68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产出时效（4分）</w:t>
            </w:r>
          </w:p>
        </w:tc>
        <w:tc>
          <w:tcPr>
            <w:tcW w:w="1071"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项目完成及时率（4分）</w:t>
            </w:r>
          </w:p>
        </w:tc>
        <w:tc>
          <w:tcPr>
            <w:tcW w:w="4914"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评价要点：</w:t>
            </w:r>
          </w:p>
          <w:p>
            <w:pPr>
              <w:rPr>
                <w:rFonts w:hint="eastAsia" w:ascii="仿宋" w:hAnsi="仿宋" w:eastAsia="仿宋" w:cs="宋体"/>
              </w:rPr>
            </w:pPr>
            <w:r>
              <w:rPr>
                <w:rFonts w:hint="eastAsia" w:ascii="仿宋" w:hAnsi="仿宋" w:eastAsia="仿宋" w:cs="宋体"/>
              </w:rPr>
              <w:t>参考项目实际完成时间与合同约定计划完成时间比较情况进行评价。</w:t>
            </w:r>
          </w:p>
          <w:p>
            <w:pPr>
              <w:rPr>
                <w:rFonts w:hint="eastAsia" w:ascii="仿宋" w:hAnsi="仿宋" w:eastAsia="仿宋" w:cs="宋体"/>
              </w:rPr>
            </w:pPr>
            <w:r>
              <w:rPr>
                <w:rFonts w:hint="eastAsia" w:ascii="仿宋" w:hAnsi="仿宋" w:eastAsia="仿宋" w:cs="宋体"/>
              </w:rPr>
              <w:t>评分标准：</w:t>
            </w:r>
          </w:p>
          <w:p>
            <w:pPr>
              <w:rPr>
                <w:rFonts w:hint="eastAsia" w:ascii="仿宋" w:hAnsi="仿宋" w:eastAsia="仿宋"/>
              </w:rPr>
            </w:pPr>
            <w:r>
              <w:rPr>
                <w:rFonts w:hint="eastAsia" w:ascii="仿宋" w:hAnsi="仿宋" w:eastAsia="仿宋" w:cs="宋体"/>
              </w:rPr>
              <w:t>项目按合同计划时间开工，并严格按工期期限内竣工，得满分；其他情况酌情扣分</w:t>
            </w:r>
            <w:r>
              <w:rPr>
                <w:rFonts w:hint="eastAsia" w:ascii="仿宋" w:hAnsi="仿宋" w:eastAsia="仿宋"/>
              </w:rPr>
              <w:t>。</w:t>
            </w:r>
          </w:p>
        </w:tc>
        <w:tc>
          <w:tcPr>
            <w:tcW w:w="893" w:type="dxa"/>
            <w:tcBorders>
              <w:top w:val="nil"/>
              <w:left w:val="nil"/>
              <w:bottom w:val="single" w:color="auto" w:sz="4" w:space="0"/>
              <w:right w:val="single" w:color="auto" w:sz="4" w:space="0"/>
            </w:tcBorders>
          </w:tcPr>
          <w:p>
            <w:pPr>
              <w:rPr>
                <w:rFonts w:hint="eastAsia" w:ascii="仿宋" w:hAnsi="仿宋" w:eastAsia="仿宋" w:cs="宋体"/>
              </w:rPr>
            </w:pPr>
            <w:r>
              <w:rPr>
                <w:rFonts w:hint="eastAsia" w:ascii="仿宋" w:hAnsi="仿宋" w:eastAsia="仿宋" w:cs="宋体"/>
              </w:rPr>
              <w:t>2</w:t>
            </w:r>
          </w:p>
        </w:tc>
      </w:tr>
      <w:tr>
        <w:tblPrEx>
          <w:tblCellMar>
            <w:top w:w="0" w:type="dxa"/>
            <w:left w:w="108" w:type="dxa"/>
            <w:bottom w:w="0" w:type="dxa"/>
            <w:right w:w="108" w:type="dxa"/>
          </w:tblCellMar>
        </w:tblPrEx>
        <w:trPr>
          <w:trHeight w:val="1170" w:hRule="atLeast"/>
          <w:jc w:val="center"/>
        </w:trPr>
        <w:tc>
          <w:tcPr>
            <w:tcW w:w="685"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效益（29分）</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社会效益（4分）</w:t>
            </w:r>
          </w:p>
        </w:tc>
        <w:tc>
          <w:tcPr>
            <w:tcW w:w="1071"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减少看病排队时间（4分）</w:t>
            </w:r>
          </w:p>
        </w:tc>
        <w:tc>
          <w:tcPr>
            <w:tcW w:w="4914"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评价要点：</w:t>
            </w:r>
          </w:p>
          <w:p>
            <w:pPr>
              <w:rPr>
                <w:rFonts w:hint="eastAsia" w:ascii="仿宋" w:hAnsi="仿宋" w:eastAsia="仿宋" w:cs="宋体"/>
              </w:rPr>
            </w:pPr>
            <w:r>
              <w:rPr>
                <w:rFonts w:hint="eastAsia" w:ascii="仿宋" w:hAnsi="仿宋" w:eastAsia="仿宋" w:cs="宋体"/>
              </w:rPr>
              <w:t>考核项目开展，对居民看病便利程度的影响。</w:t>
            </w:r>
          </w:p>
          <w:p>
            <w:pPr>
              <w:rPr>
                <w:rFonts w:hint="eastAsia" w:ascii="仿宋" w:hAnsi="仿宋" w:eastAsia="仿宋" w:cs="宋体"/>
              </w:rPr>
            </w:pPr>
            <w:r>
              <w:rPr>
                <w:rFonts w:hint="eastAsia" w:ascii="仿宋" w:hAnsi="仿宋" w:eastAsia="仿宋" w:cs="宋体"/>
              </w:rPr>
              <w:t>评分标准：</w:t>
            </w:r>
          </w:p>
          <w:p>
            <w:pPr>
              <w:rPr>
                <w:rFonts w:hint="eastAsia" w:ascii="仿宋" w:hAnsi="仿宋" w:eastAsia="仿宋" w:cs="宋体"/>
              </w:rPr>
            </w:pPr>
            <w:r>
              <w:rPr>
                <w:rFonts w:hint="eastAsia" w:ascii="仿宋" w:hAnsi="仿宋" w:eastAsia="仿宋" w:cs="宋体"/>
              </w:rPr>
              <w:t>根据对医疗机构覆盖范围内居民的问卷调查情况，按照认为看病排队时间减少的问卷数量的百分比得分。</w:t>
            </w:r>
          </w:p>
        </w:tc>
        <w:tc>
          <w:tcPr>
            <w:tcW w:w="893" w:type="dxa"/>
            <w:tcBorders>
              <w:top w:val="nil"/>
              <w:left w:val="nil"/>
              <w:bottom w:val="single" w:color="auto" w:sz="4" w:space="0"/>
              <w:right w:val="single" w:color="auto" w:sz="4" w:space="0"/>
            </w:tcBorders>
          </w:tcPr>
          <w:p>
            <w:pPr>
              <w:rPr>
                <w:rFonts w:hint="eastAsia" w:ascii="仿宋" w:hAnsi="仿宋" w:eastAsia="仿宋" w:cs="宋体"/>
              </w:rPr>
            </w:pPr>
            <w:r>
              <w:rPr>
                <w:rFonts w:hint="eastAsia" w:ascii="仿宋" w:hAnsi="仿宋" w:eastAsia="仿宋" w:cs="宋体"/>
              </w:rPr>
              <w:t>3.27</w:t>
            </w:r>
          </w:p>
        </w:tc>
      </w:tr>
      <w:tr>
        <w:tblPrEx>
          <w:tblCellMar>
            <w:top w:w="0" w:type="dxa"/>
            <w:left w:w="108" w:type="dxa"/>
            <w:bottom w:w="0" w:type="dxa"/>
            <w:right w:w="108" w:type="dxa"/>
          </w:tblCellMar>
        </w:tblPrEx>
        <w:trPr>
          <w:trHeight w:val="1170" w:hRule="atLeast"/>
          <w:jc w:val="center"/>
        </w:trPr>
        <w:tc>
          <w:tcPr>
            <w:tcW w:w="685"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宋体"/>
              </w:rPr>
            </w:pPr>
          </w:p>
        </w:tc>
        <w:tc>
          <w:tcPr>
            <w:tcW w:w="846" w:type="dxa"/>
            <w:vMerge w:val="restart"/>
            <w:tcBorders>
              <w:left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经济效益（6分）</w:t>
            </w:r>
          </w:p>
        </w:tc>
        <w:tc>
          <w:tcPr>
            <w:tcW w:w="1071"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医院人均业务收入（3分）</w:t>
            </w:r>
          </w:p>
        </w:tc>
        <w:tc>
          <w:tcPr>
            <w:tcW w:w="4914"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评价医院职工创收能力，达到目标值得满分，未达目标值按比例得分。</w:t>
            </w:r>
          </w:p>
        </w:tc>
        <w:tc>
          <w:tcPr>
            <w:tcW w:w="893" w:type="dxa"/>
            <w:tcBorders>
              <w:top w:val="nil"/>
              <w:left w:val="nil"/>
              <w:bottom w:val="single" w:color="auto" w:sz="4" w:space="0"/>
              <w:right w:val="single" w:color="auto" w:sz="4" w:space="0"/>
            </w:tcBorders>
          </w:tcPr>
          <w:p>
            <w:pPr>
              <w:rPr>
                <w:rFonts w:hint="eastAsia" w:ascii="仿宋" w:hAnsi="仿宋" w:eastAsia="仿宋" w:cs="宋体"/>
              </w:rPr>
            </w:pPr>
            <w:r>
              <w:rPr>
                <w:rFonts w:hint="eastAsia" w:ascii="仿宋" w:hAnsi="仿宋" w:eastAsia="仿宋" w:cs="宋体"/>
              </w:rPr>
              <w:t>3</w:t>
            </w:r>
          </w:p>
        </w:tc>
      </w:tr>
      <w:tr>
        <w:tblPrEx>
          <w:tblCellMar>
            <w:top w:w="0" w:type="dxa"/>
            <w:left w:w="108" w:type="dxa"/>
            <w:bottom w:w="0" w:type="dxa"/>
            <w:right w:w="108" w:type="dxa"/>
          </w:tblCellMar>
        </w:tblPrEx>
        <w:trPr>
          <w:trHeight w:val="1170" w:hRule="atLeast"/>
          <w:jc w:val="center"/>
        </w:trPr>
        <w:tc>
          <w:tcPr>
            <w:tcW w:w="685"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宋体"/>
              </w:rPr>
            </w:pPr>
          </w:p>
        </w:tc>
        <w:tc>
          <w:tcPr>
            <w:tcW w:w="846" w:type="dxa"/>
            <w:vMerge w:val="continue"/>
            <w:tcBorders>
              <w:left w:val="single" w:color="auto" w:sz="4" w:space="0"/>
              <w:bottom w:val="single" w:color="auto" w:sz="4" w:space="0"/>
              <w:right w:val="single" w:color="auto" w:sz="4" w:space="0"/>
            </w:tcBorders>
            <w:shd w:val="clear" w:color="auto" w:fill="auto"/>
            <w:vAlign w:val="center"/>
          </w:tcPr>
          <w:p>
            <w:pPr>
              <w:rPr>
                <w:rFonts w:hint="eastAsia" w:ascii="仿宋" w:hAnsi="仿宋" w:eastAsia="仿宋" w:cs="宋体"/>
              </w:rPr>
            </w:pPr>
          </w:p>
        </w:tc>
        <w:tc>
          <w:tcPr>
            <w:tcW w:w="1071"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投资回报率（3分）</w:t>
            </w:r>
          </w:p>
        </w:tc>
        <w:tc>
          <w:tcPr>
            <w:tcW w:w="4914"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考核核债券资金项目报酬率对债券利息的覆盖情况，可以覆盖得满分，否则按比例得分。</w:t>
            </w:r>
          </w:p>
        </w:tc>
        <w:tc>
          <w:tcPr>
            <w:tcW w:w="893" w:type="dxa"/>
            <w:tcBorders>
              <w:top w:val="nil"/>
              <w:left w:val="nil"/>
              <w:bottom w:val="single" w:color="auto" w:sz="4" w:space="0"/>
              <w:right w:val="single" w:color="auto" w:sz="4" w:space="0"/>
            </w:tcBorders>
          </w:tcPr>
          <w:p>
            <w:pPr>
              <w:rPr>
                <w:rFonts w:hint="eastAsia" w:ascii="仿宋" w:hAnsi="仿宋" w:eastAsia="仿宋" w:cs="宋体"/>
              </w:rPr>
            </w:pPr>
            <w:r>
              <w:rPr>
                <w:rFonts w:hint="eastAsia" w:ascii="仿宋" w:hAnsi="仿宋" w:eastAsia="仿宋" w:cs="宋体"/>
              </w:rPr>
              <w:t>3</w:t>
            </w:r>
          </w:p>
        </w:tc>
      </w:tr>
      <w:tr>
        <w:tblPrEx>
          <w:tblCellMar>
            <w:top w:w="0" w:type="dxa"/>
            <w:left w:w="108" w:type="dxa"/>
            <w:bottom w:w="0" w:type="dxa"/>
            <w:right w:w="108" w:type="dxa"/>
          </w:tblCellMar>
        </w:tblPrEx>
        <w:trPr>
          <w:trHeight w:val="1312" w:hRule="atLeast"/>
          <w:jc w:val="center"/>
        </w:trPr>
        <w:tc>
          <w:tcPr>
            <w:tcW w:w="685" w:type="dxa"/>
            <w:vMerge w:val="continue"/>
            <w:tcBorders>
              <w:left w:val="single" w:color="auto" w:sz="4" w:space="0"/>
              <w:right w:val="single" w:color="auto" w:sz="4" w:space="0"/>
            </w:tcBorders>
            <w:vAlign w:val="center"/>
          </w:tcPr>
          <w:p>
            <w:pPr>
              <w:rPr>
                <w:rFonts w:hint="eastAsia" w:ascii="仿宋" w:hAnsi="仿宋" w:eastAsia="仿宋" w:cs="宋体"/>
              </w:rPr>
            </w:pPr>
          </w:p>
        </w:tc>
        <w:tc>
          <w:tcPr>
            <w:tcW w:w="846" w:type="dxa"/>
            <w:tcBorders>
              <w:top w:val="nil"/>
              <w:left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生态效益（3分）</w:t>
            </w:r>
          </w:p>
        </w:tc>
        <w:tc>
          <w:tcPr>
            <w:tcW w:w="1071"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减少医疗污染（3分）</w:t>
            </w:r>
          </w:p>
        </w:tc>
        <w:tc>
          <w:tcPr>
            <w:tcW w:w="4914"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评价要点：</w:t>
            </w:r>
          </w:p>
          <w:p>
            <w:pPr>
              <w:rPr>
                <w:rFonts w:hint="eastAsia" w:ascii="仿宋" w:hAnsi="仿宋" w:eastAsia="仿宋" w:cs="宋体"/>
              </w:rPr>
            </w:pPr>
            <w:r>
              <w:rPr>
                <w:rFonts w:hint="eastAsia" w:ascii="仿宋" w:hAnsi="仿宋" w:eastAsia="仿宋" w:cs="宋体"/>
              </w:rPr>
              <w:t>根据相关统计数据或报告，判断地表水水质提升状况。提升效果显著（3分）；效果较显著（2分）；效果不明显（0分）。</w:t>
            </w:r>
          </w:p>
        </w:tc>
        <w:tc>
          <w:tcPr>
            <w:tcW w:w="893" w:type="dxa"/>
            <w:tcBorders>
              <w:top w:val="nil"/>
              <w:left w:val="nil"/>
              <w:bottom w:val="single" w:color="auto" w:sz="4" w:space="0"/>
              <w:right w:val="single" w:color="auto" w:sz="4" w:space="0"/>
            </w:tcBorders>
          </w:tcPr>
          <w:p>
            <w:pPr>
              <w:rPr>
                <w:rFonts w:hint="eastAsia" w:ascii="仿宋" w:hAnsi="仿宋" w:eastAsia="仿宋" w:cs="宋体"/>
              </w:rPr>
            </w:pPr>
            <w:r>
              <w:rPr>
                <w:rFonts w:hint="eastAsia" w:ascii="仿宋" w:hAnsi="仿宋" w:eastAsia="仿宋" w:cs="宋体"/>
              </w:rPr>
              <w:t>3</w:t>
            </w:r>
          </w:p>
        </w:tc>
      </w:tr>
      <w:tr>
        <w:tblPrEx>
          <w:tblCellMar>
            <w:top w:w="0" w:type="dxa"/>
            <w:left w:w="108" w:type="dxa"/>
            <w:bottom w:w="0" w:type="dxa"/>
            <w:right w:w="108" w:type="dxa"/>
          </w:tblCellMar>
        </w:tblPrEx>
        <w:trPr>
          <w:trHeight w:val="1466" w:hRule="atLeast"/>
          <w:jc w:val="center"/>
        </w:trPr>
        <w:tc>
          <w:tcPr>
            <w:tcW w:w="685" w:type="dxa"/>
            <w:vMerge w:val="continue"/>
            <w:tcBorders>
              <w:left w:val="single" w:color="auto" w:sz="4" w:space="0"/>
              <w:right w:val="single" w:color="auto" w:sz="4" w:space="0"/>
            </w:tcBorders>
            <w:vAlign w:val="center"/>
          </w:tcPr>
          <w:p>
            <w:pPr>
              <w:rPr>
                <w:rFonts w:hint="eastAsia" w:ascii="仿宋" w:hAnsi="仿宋" w:eastAsia="仿宋" w:cs="宋体"/>
              </w:rPr>
            </w:pPr>
          </w:p>
        </w:tc>
        <w:tc>
          <w:tcPr>
            <w:tcW w:w="846"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可持续影响（6分）</w:t>
            </w:r>
          </w:p>
        </w:tc>
        <w:tc>
          <w:tcPr>
            <w:tcW w:w="1071" w:type="dxa"/>
            <w:tcBorders>
              <w:top w:val="single" w:color="auto" w:sz="4" w:space="0"/>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社会可持续性（2分）</w:t>
            </w:r>
          </w:p>
        </w:tc>
        <w:tc>
          <w:tcPr>
            <w:tcW w:w="4914" w:type="dxa"/>
            <w:tcBorders>
              <w:top w:val="single" w:color="auto" w:sz="4" w:space="0"/>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评价要点：</w:t>
            </w:r>
          </w:p>
          <w:p>
            <w:pPr>
              <w:rPr>
                <w:rFonts w:hint="eastAsia" w:ascii="仿宋" w:hAnsi="仿宋" w:eastAsia="仿宋" w:cs="宋体"/>
              </w:rPr>
            </w:pPr>
            <w:r>
              <w:rPr>
                <w:rFonts w:hint="eastAsia" w:ascii="仿宋" w:hAnsi="仿宋" w:eastAsia="仿宋" w:cs="宋体"/>
              </w:rPr>
              <w:t>通过该项目是否</w:t>
            </w:r>
            <w:r>
              <w:rPr>
                <w:rFonts w:ascii="仿宋" w:hAnsi="仿宋" w:eastAsia="仿宋" w:cs="宋体"/>
              </w:rPr>
              <w:t>扩大地区基础设施、加大社会服务容量、加快</w:t>
            </w:r>
            <w:r>
              <w:rPr>
                <w:rFonts w:hint="eastAsia" w:ascii="仿宋" w:hAnsi="仿宋" w:eastAsia="仿宋" w:cs="宋体"/>
              </w:rPr>
              <w:t>了</w:t>
            </w:r>
            <w:r>
              <w:rPr>
                <w:rFonts w:ascii="仿宋" w:hAnsi="仿宋" w:eastAsia="仿宋" w:cs="宋体"/>
              </w:rPr>
              <w:t>城市化进程</w:t>
            </w:r>
            <w:r>
              <w:rPr>
                <w:rFonts w:hint="eastAsia" w:ascii="仿宋" w:hAnsi="仿宋" w:eastAsia="仿宋" w:cs="宋体"/>
              </w:rPr>
              <w:t>。</w:t>
            </w:r>
          </w:p>
          <w:p>
            <w:pPr>
              <w:rPr>
                <w:rFonts w:hint="eastAsia" w:ascii="仿宋" w:hAnsi="仿宋" w:eastAsia="仿宋"/>
              </w:rPr>
            </w:pPr>
            <w:r>
              <w:rPr>
                <w:rFonts w:hint="eastAsia" w:ascii="仿宋" w:hAnsi="仿宋" w:eastAsia="仿宋" w:cs="宋体"/>
              </w:rPr>
              <w:t>“是”得满分，“否”不得分。</w:t>
            </w:r>
          </w:p>
        </w:tc>
        <w:tc>
          <w:tcPr>
            <w:tcW w:w="893" w:type="dxa"/>
            <w:tcBorders>
              <w:top w:val="single" w:color="auto" w:sz="4" w:space="0"/>
              <w:left w:val="nil"/>
              <w:bottom w:val="single" w:color="auto" w:sz="4" w:space="0"/>
              <w:right w:val="single" w:color="auto" w:sz="4" w:space="0"/>
            </w:tcBorders>
          </w:tcPr>
          <w:p>
            <w:pPr>
              <w:rPr>
                <w:rFonts w:hint="eastAsia" w:ascii="仿宋" w:hAnsi="仿宋" w:eastAsia="仿宋" w:cs="宋体"/>
              </w:rPr>
            </w:pPr>
            <w:r>
              <w:rPr>
                <w:rFonts w:hint="eastAsia" w:ascii="仿宋" w:hAnsi="仿宋" w:eastAsia="仿宋" w:cs="宋体"/>
              </w:rPr>
              <w:t>2</w:t>
            </w:r>
          </w:p>
        </w:tc>
      </w:tr>
      <w:tr>
        <w:tblPrEx>
          <w:tblCellMar>
            <w:top w:w="0" w:type="dxa"/>
            <w:left w:w="108" w:type="dxa"/>
            <w:bottom w:w="0" w:type="dxa"/>
            <w:right w:w="108" w:type="dxa"/>
          </w:tblCellMar>
        </w:tblPrEx>
        <w:trPr>
          <w:trHeight w:val="1466" w:hRule="atLeast"/>
          <w:jc w:val="center"/>
        </w:trPr>
        <w:tc>
          <w:tcPr>
            <w:tcW w:w="685" w:type="dxa"/>
            <w:vMerge w:val="continue"/>
            <w:tcBorders>
              <w:left w:val="single" w:color="auto" w:sz="4" w:space="0"/>
              <w:right w:val="single" w:color="auto" w:sz="4" w:space="0"/>
            </w:tcBorders>
            <w:vAlign w:val="center"/>
          </w:tcPr>
          <w:p>
            <w:pPr>
              <w:rPr>
                <w:rFonts w:hint="eastAsia" w:ascii="仿宋" w:hAnsi="仿宋" w:eastAsia="仿宋" w:cs="宋体"/>
              </w:rPr>
            </w:pPr>
          </w:p>
        </w:tc>
        <w:tc>
          <w:tcPr>
            <w:tcW w:w="846" w:type="dxa"/>
            <w:vMerge w:val="continue"/>
            <w:tcBorders>
              <w:left w:val="single" w:color="auto" w:sz="4" w:space="0"/>
              <w:right w:val="single" w:color="auto" w:sz="4" w:space="0"/>
            </w:tcBorders>
            <w:shd w:val="clear" w:color="auto" w:fill="auto"/>
            <w:vAlign w:val="center"/>
          </w:tcPr>
          <w:p>
            <w:pPr>
              <w:jc w:val="center"/>
              <w:rPr>
                <w:rFonts w:hint="eastAsia" w:ascii="仿宋" w:hAnsi="仿宋" w:eastAsia="仿宋" w:cs="宋体"/>
              </w:rPr>
            </w:pPr>
          </w:p>
        </w:tc>
        <w:tc>
          <w:tcPr>
            <w:tcW w:w="107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经济可持续性（2分）</w:t>
            </w:r>
          </w:p>
        </w:tc>
        <w:tc>
          <w:tcPr>
            <w:tcW w:w="4914" w:type="dxa"/>
            <w:tcBorders>
              <w:top w:val="single" w:color="auto" w:sz="4" w:space="0"/>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评价要点：</w:t>
            </w:r>
          </w:p>
          <w:p>
            <w:pPr>
              <w:rPr>
                <w:rFonts w:hint="eastAsia" w:ascii="仿宋" w:hAnsi="仿宋" w:eastAsia="仿宋" w:cs="宋体"/>
              </w:rPr>
            </w:pPr>
            <w:r>
              <w:rPr>
                <w:rFonts w:hint="eastAsia" w:ascii="仿宋" w:hAnsi="仿宋" w:eastAsia="仿宋" w:cs="宋体"/>
              </w:rPr>
              <w:t>是否</w:t>
            </w:r>
            <w:r>
              <w:rPr>
                <w:rFonts w:ascii="仿宋" w:hAnsi="仿宋" w:eastAsia="仿宋" w:cs="宋体"/>
              </w:rPr>
              <w:t>通过减少因污染导致的环境治理费用、赔偿费用以及潜在的经济损失</w:t>
            </w:r>
          </w:p>
          <w:p>
            <w:pPr>
              <w:rPr>
                <w:rFonts w:hint="eastAsia" w:ascii="仿宋" w:hAnsi="仿宋" w:eastAsia="仿宋"/>
              </w:rPr>
            </w:pPr>
            <w:r>
              <w:rPr>
                <w:rFonts w:hint="eastAsia" w:ascii="仿宋" w:hAnsi="仿宋" w:eastAsia="仿宋" w:cs="宋体"/>
              </w:rPr>
              <w:t>“是”得满分，“否”不得分。</w:t>
            </w:r>
          </w:p>
        </w:tc>
        <w:tc>
          <w:tcPr>
            <w:tcW w:w="893" w:type="dxa"/>
            <w:tcBorders>
              <w:top w:val="single" w:color="auto" w:sz="4" w:space="0"/>
              <w:left w:val="nil"/>
              <w:bottom w:val="single" w:color="auto" w:sz="4" w:space="0"/>
              <w:right w:val="single" w:color="auto" w:sz="4" w:space="0"/>
            </w:tcBorders>
          </w:tcPr>
          <w:p>
            <w:pPr>
              <w:rPr>
                <w:rFonts w:hint="eastAsia" w:ascii="仿宋" w:hAnsi="仿宋" w:eastAsia="仿宋" w:cs="宋体"/>
              </w:rPr>
            </w:pPr>
            <w:r>
              <w:rPr>
                <w:rFonts w:hint="eastAsia" w:ascii="仿宋" w:hAnsi="仿宋" w:eastAsia="仿宋" w:cs="宋体"/>
              </w:rPr>
              <w:t>1</w:t>
            </w:r>
          </w:p>
        </w:tc>
      </w:tr>
      <w:tr>
        <w:tblPrEx>
          <w:tblCellMar>
            <w:top w:w="0" w:type="dxa"/>
            <w:left w:w="108" w:type="dxa"/>
            <w:bottom w:w="0" w:type="dxa"/>
            <w:right w:w="108" w:type="dxa"/>
          </w:tblCellMar>
        </w:tblPrEx>
        <w:trPr>
          <w:trHeight w:val="1466" w:hRule="atLeast"/>
          <w:jc w:val="center"/>
        </w:trPr>
        <w:tc>
          <w:tcPr>
            <w:tcW w:w="685" w:type="dxa"/>
            <w:vMerge w:val="continue"/>
            <w:tcBorders>
              <w:left w:val="single" w:color="auto" w:sz="4" w:space="0"/>
              <w:right w:val="single" w:color="auto" w:sz="4" w:space="0"/>
            </w:tcBorders>
            <w:vAlign w:val="center"/>
          </w:tcPr>
          <w:p>
            <w:pPr>
              <w:rPr>
                <w:rFonts w:hint="eastAsia" w:ascii="仿宋" w:hAnsi="仿宋" w:eastAsia="仿宋" w:cs="宋体"/>
              </w:rPr>
            </w:pPr>
          </w:p>
        </w:tc>
        <w:tc>
          <w:tcPr>
            <w:tcW w:w="846"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p>
        </w:tc>
        <w:tc>
          <w:tcPr>
            <w:tcW w:w="107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生态可持续性（2分）</w:t>
            </w:r>
          </w:p>
        </w:tc>
        <w:tc>
          <w:tcPr>
            <w:tcW w:w="4914" w:type="dxa"/>
            <w:tcBorders>
              <w:top w:val="single" w:color="auto" w:sz="4" w:space="0"/>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评价要点：</w:t>
            </w:r>
          </w:p>
          <w:p>
            <w:pPr>
              <w:rPr>
                <w:rFonts w:hint="eastAsia" w:ascii="仿宋" w:hAnsi="仿宋" w:eastAsia="仿宋" w:cs="宋体"/>
              </w:rPr>
            </w:pPr>
            <w:r>
              <w:rPr>
                <w:rFonts w:hint="eastAsia" w:ascii="仿宋" w:hAnsi="仿宋" w:eastAsia="仿宋" w:cs="宋体"/>
              </w:rPr>
              <w:t>是否减少医疗废水</w:t>
            </w:r>
            <w:r>
              <w:rPr>
                <w:rFonts w:ascii="仿宋" w:hAnsi="仿宋" w:eastAsia="仿宋" w:cs="宋体"/>
              </w:rPr>
              <w:t>造成的污染，改善区域水质</w:t>
            </w:r>
            <w:r>
              <w:rPr>
                <w:rFonts w:hint="eastAsia" w:ascii="仿宋" w:hAnsi="仿宋" w:eastAsia="仿宋" w:cs="宋体"/>
              </w:rPr>
              <w:t>，</w:t>
            </w:r>
            <w:r>
              <w:rPr>
                <w:rFonts w:ascii="仿宋" w:hAnsi="仿宋" w:eastAsia="仿宋" w:cs="宋体"/>
              </w:rPr>
              <w:t>减少因</w:t>
            </w:r>
            <w:r>
              <w:rPr>
                <w:rFonts w:hint="eastAsia" w:ascii="仿宋" w:hAnsi="仿宋" w:eastAsia="仿宋" w:cs="宋体"/>
              </w:rPr>
              <w:t>废</w:t>
            </w:r>
            <w:r>
              <w:rPr>
                <w:rFonts w:ascii="仿宋" w:hAnsi="仿宋" w:eastAsia="仿宋" w:cs="宋体"/>
              </w:rPr>
              <w:t>水排放导致的生态破坏</w:t>
            </w:r>
            <w:r>
              <w:rPr>
                <w:rFonts w:hint="eastAsia" w:ascii="仿宋" w:hAnsi="仿宋" w:eastAsia="仿宋" w:cs="宋体"/>
              </w:rPr>
              <w:t>或疾病传播。</w:t>
            </w:r>
          </w:p>
          <w:p>
            <w:pPr>
              <w:rPr>
                <w:rFonts w:hint="eastAsia" w:ascii="仿宋" w:hAnsi="仿宋" w:eastAsia="仿宋"/>
              </w:rPr>
            </w:pPr>
            <w:r>
              <w:rPr>
                <w:rFonts w:hint="eastAsia" w:ascii="仿宋" w:hAnsi="仿宋" w:eastAsia="仿宋" w:cs="宋体"/>
              </w:rPr>
              <w:t>“是”得满分，“否”不得分。</w:t>
            </w:r>
          </w:p>
        </w:tc>
        <w:tc>
          <w:tcPr>
            <w:tcW w:w="893" w:type="dxa"/>
            <w:tcBorders>
              <w:top w:val="single" w:color="auto" w:sz="4" w:space="0"/>
              <w:left w:val="nil"/>
              <w:bottom w:val="single" w:color="auto" w:sz="4" w:space="0"/>
              <w:right w:val="single" w:color="auto" w:sz="4" w:space="0"/>
            </w:tcBorders>
          </w:tcPr>
          <w:p>
            <w:pPr>
              <w:rPr>
                <w:rFonts w:hint="eastAsia" w:ascii="仿宋" w:hAnsi="仿宋" w:eastAsia="仿宋" w:cs="宋体"/>
              </w:rPr>
            </w:pPr>
            <w:r>
              <w:rPr>
                <w:rFonts w:hint="eastAsia" w:ascii="仿宋" w:hAnsi="仿宋" w:eastAsia="仿宋" w:cs="宋体"/>
              </w:rPr>
              <w:t>2</w:t>
            </w:r>
          </w:p>
        </w:tc>
      </w:tr>
      <w:tr>
        <w:tblPrEx>
          <w:tblCellMar>
            <w:top w:w="0" w:type="dxa"/>
            <w:left w:w="108" w:type="dxa"/>
            <w:bottom w:w="0" w:type="dxa"/>
            <w:right w:w="108" w:type="dxa"/>
          </w:tblCellMar>
        </w:tblPrEx>
        <w:trPr>
          <w:trHeight w:val="885" w:hRule="atLeast"/>
          <w:jc w:val="center"/>
        </w:trPr>
        <w:tc>
          <w:tcPr>
            <w:tcW w:w="685" w:type="dxa"/>
            <w:vMerge w:val="continue"/>
            <w:tcBorders>
              <w:left w:val="single" w:color="auto" w:sz="4" w:space="0"/>
              <w:right w:val="single" w:color="auto" w:sz="4" w:space="0"/>
            </w:tcBorders>
            <w:vAlign w:val="center"/>
          </w:tcPr>
          <w:p>
            <w:pPr>
              <w:rPr>
                <w:rFonts w:hint="eastAsia" w:ascii="仿宋" w:hAnsi="仿宋" w:eastAsia="仿宋" w:cs="宋体"/>
              </w:rPr>
            </w:pPr>
          </w:p>
        </w:tc>
        <w:tc>
          <w:tcPr>
            <w:tcW w:w="8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满意度（10分）</w:t>
            </w:r>
          </w:p>
        </w:tc>
        <w:tc>
          <w:tcPr>
            <w:tcW w:w="107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职工满意度（10分）</w:t>
            </w:r>
          </w:p>
        </w:tc>
        <w:tc>
          <w:tcPr>
            <w:tcW w:w="4914" w:type="dxa"/>
            <w:tcBorders>
              <w:top w:val="single" w:color="auto" w:sz="4" w:space="0"/>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通过满意度问卷调查，按“非常满意”计5分，“比较满意</w:t>
            </w:r>
            <w:r>
              <w:rPr>
                <w:rFonts w:ascii="仿宋" w:hAnsi="仿宋" w:eastAsia="仿宋" w:cs="宋体"/>
              </w:rPr>
              <w:t>”</w:t>
            </w:r>
            <w:r>
              <w:rPr>
                <w:rFonts w:hint="eastAsia" w:ascii="仿宋" w:hAnsi="仿宋" w:eastAsia="仿宋" w:cs="宋体"/>
              </w:rPr>
              <w:t>计4分，“一般”计3分，“不满意”计0分系数标准计算得分。</w:t>
            </w:r>
          </w:p>
        </w:tc>
        <w:tc>
          <w:tcPr>
            <w:tcW w:w="893" w:type="dxa"/>
            <w:tcBorders>
              <w:top w:val="single" w:color="auto" w:sz="4" w:space="0"/>
              <w:left w:val="nil"/>
              <w:bottom w:val="single" w:color="auto" w:sz="4" w:space="0"/>
              <w:right w:val="single" w:color="auto" w:sz="4" w:space="0"/>
            </w:tcBorders>
          </w:tcPr>
          <w:p>
            <w:pPr>
              <w:rPr>
                <w:rFonts w:hint="eastAsia" w:ascii="仿宋" w:hAnsi="仿宋" w:eastAsia="仿宋" w:cs="宋体"/>
              </w:rPr>
            </w:pPr>
            <w:r>
              <w:rPr>
                <w:rFonts w:hint="eastAsia" w:ascii="仿宋" w:hAnsi="仿宋" w:eastAsia="仿宋" w:cs="宋体"/>
              </w:rPr>
              <w:t>4.73</w:t>
            </w:r>
          </w:p>
        </w:tc>
      </w:tr>
      <w:tr>
        <w:tblPrEx>
          <w:tblCellMar>
            <w:top w:w="0" w:type="dxa"/>
            <w:left w:w="108" w:type="dxa"/>
            <w:bottom w:w="0" w:type="dxa"/>
            <w:right w:w="108" w:type="dxa"/>
          </w:tblCellMar>
        </w:tblPrEx>
        <w:trPr>
          <w:trHeight w:val="885" w:hRule="atLeast"/>
          <w:jc w:val="center"/>
        </w:trPr>
        <w:tc>
          <w:tcPr>
            <w:tcW w:w="685"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846" w:type="dxa"/>
            <w:vMerge w:val="continue"/>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宋体"/>
              </w:rPr>
            </w:pPr>
          </w:p>
        </w:tc>
        <w:tc>
          <w:tcPr>
            <w:tcW w:w="107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患者满意度</w:t>
            </w:r>
          </w:p>
        </w:tc>
        <w:tc>
          <w:tcPr>
            <w:tcW w:w="4914" w:type="dxa"/>
            <w:tcBorders>
              <w:top w:val="single" w:color="auto" w:sz="4" w:space="0"/>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通过满意度问卷调查，通过满意度问卷调查，按“非常满意”计5分，“比较满意</w:t>
            </w:r>
            <w:r>
              <w:rPr>
                <w:rFonts w:ascii="仿宋" w:hAnsi="仿宋" w:eastAsia="仿宋" w:cs="宋体"/>
              </w:rPr>
              <w:t>”</w:t>
            </w:r>
            <w:r>
              <w:rPr>
                <w:rFonts w:hint="eastAsia" w:ascii="仿宋" w:hAnsi="仿宋" w:eastAsia="仿宋" w:cs="宋体"/>
              </w:rPr>
              <w:t>计4分，“一般”计3分，“不满意”计0分系数标准计算得分。</w:t>
            </w:r>
          </w:p>
        </w:tc>
        <w:tc>
          <w:tcPr>
            <w:tcW w:w="893" w:type="dxa"/>
            <w:tcBorders>
              <w:top w:val="single" w:color="auto" w:sz="4" w:space="0"/>
              <w:left w:val="nil"/>
              <w:bottom w:val="single" w:color="auto" w:sz="4" w:space="0"/>
              <w:right w:val="single" w:color="auto" w:sz="4" w:space="0"/>
            </w:tcBorders>
          </w:tcPr>
          <w:p>
            <w:pPr>
              <w:rPr>
                <w:rFonts w:hint="eastAsia" w:ascii="仿宋" w:hAnsi="仿宋" w:eastAsia="仿宋" w:cs="宋体"/>
              </w:rPr>
            </w:pPr>
            <w:r>
              <w:rPr>
                <w:rFonts w:hint="eastAsia" w:ascii="仿宋" w:hAnsi="仿宋" w:eastAsia="仿宋" w:cs="宋体"/>
              </w:rPr>
              <w:t>4.57</w:t>
            </w:r>
          </w:p>
        </w:tc>
      </w:tr>
      <w:tr>
        <w:tblPrEx>
          <w:tblCellMar>
            <w:top w:w="0" w:type="dxa"/>
            <w:left w:w="108" w:type="dxa"/>
            <w:bottom w:w="0" w:type="dxa"/>
            <w:right w:w="108" w:type="dxa"/>
          </w:tblCellMar>
        </w:tblPrEx>
        <w:trPr>
          <w:trHeight w:val="885" w:hRule="atLeast"/>
          <w:jc w:val="center"/>
        </w:trPr>
        <w:tc>
          <w:tcPr>
            <w:tcW w:w="7516"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b/>
                <w:bCs/>
              </w:rPr>
            </w:pPr>
            <w:r>
              <w:rPr>
                <w:rFonts w:hint="eastAsia" w:ascii="仿宋" w:hAnsi="仿宋" w:eastAsia="仿宋" w:cs="宋体"/>
                <w:b/>
                <w:bCs/>
              </w:rPr>
              <w:t>合计</w:t>
            </w:r>
          </w:p>
        </w:tc>
        <w:tc>
          <w:tcPr>
            <w:tcW w:w="893" w:type="dxa"/>
            <w:tcBorders>
              <w:top w:val="single" w:color="auto" w:sz="4" w:space="0"/>
              <w:left w:val="nil"/>
              <w:bottom w:val="single" w:color="auto" w:sz="4" w:space="0"/>
              <w:right w:val="single" w:color="auto" w:sz="4" w:space="0"/>
            </w:tcBorders>
          </w:tcPr>
          <w:p>
            <w:pPr>
              <w:jc w:val="center"/>
              <w:rPr>
                <w:rFonts w:hint="eastAsia" w:ascii="仿宋" w:hAnsi="仿宋" w:eastAsia="仿宋" w:cs="宋体"/>
                <w:b/>
                <w:bCs/>
              </w:rPr>
            </w:pPr>
            <w:r>
              <w:rPr>
                <w:rFonts w:hint="eastAsia" w:ascii="仿宋" w:hAnsi="仿宋" w:eastAsia="仿宋" w:cs="宋体"/>
                <w:b/>
                <w:bCs/>
              </w:rPr>
              <w:t>82.02</w:t>
            </w:r>
          </w:p>
        </w:tc>
      </w:tr>
    </w:tbl>
    <w:p/>
    <w:p>
      <w:pPr>
        <w:pStyle w:val="32"/>
        <w:spacing w:beforeAutospacing="0" w:afterAutospacing="0" w:line="360" w:lineRule="auto"/>
        <w:jc w:val="both"/>
        <w:rPr>
          <w:rFonts w:hint="eastAsia" w:ascii="仿宋" w:hAnsi="仿宋" w:eastAsia="仿宋"/>
          <w:color w:val="auto"/>
          <w:kern w:val="2"/>
          <w:sz w:val="28"/>
          <w:szCs w:val="28"/>
        </w:rPr>
      </w:pPr>
    </w:p>
    <w:p>
      <w:pPr>
        <w:pStyle w:val="32"/>
        <w:spacing w:beforeAutospacing="0" w:afterAutospacing="0" w:line="360" w:lineRule="auto"/>
        <w:jc w:val="both"/>
        <w:rPr>
          <w:rFonts w:hint="eastAsia" w:ascii="仿宋" w:hAnsi="仿宋" w:eastAsia="仿宋"/>
          <w:color w:val="auto"/>
          <w:kern w:val="2"/>
          <w:sz w:val="28"/>
          <w:szCs w:val="28"/>
        </w:rPr>
      </w:pPr>
    </w:p>
    <w:p>
      <w:pPr>
        <w:jc w:val="both"/>
        <w:rPr>
          <w:color w:val="auto"/>
        </w:rPr>
      </w:pPr>
    </w:p>
    <w:p>
      <w:pPr>
        <w:pStyle w:val="35"/>
        <w:ind w:left="420" w:firstLine="560"/>
        <w:jc w:val="both"/>
        <w:rPr>
          <w:rFonts w:hint="default"/>
        </w:rPr>
      </w:pPr>
    </w:p>
    <w:p>
      <w:pPr>
        <w:jc w:val="both"/>
        <w:rPr>
          <w:color w:val="auto"/>
        </w:rPr>
      </w:pPr>
    </w:p>
    <w:p>
      <w:pPr>
        <w:pStyle w:val="35"/>
        <w:ind w:left="420" w:firstLine="560"/>
        <w:jc w:val="both"/>
        <w:rPr>
          <w:rFonts w:hint="default"/>
        </w:rPr>
      </w:pPr>
    </w:p>
    <w:p>
      <w:pPr>
        <w:jc w:val="both"/>
        <w:rPr>
          <w:color w:val="auto"/>
        </w:rPr>
      </w:pPr>
    </w:p>
    <w:p>
      <w:pPr>
        <w:ind w:firstLine="2530" w:firstLineChars="1200"/>
        <w:jc w:val="both"/>
        <w:rPr>
          <w:rFonts w:hint="eastAsia" w:ascii="仿宋" w:hAnsi="仿宋" w:eastAsia="仿宋" w:cs="宋体"/>
          <w:b/>
          <w:bCs/>
          <w:snapToGrid/>
          <w:color w:val="auto"/>
        </w:rPr>
      </w:pPr>
    </w:p>
    <w:sectPr>
      <w:footerReference r:id="rId4" w:type="default"/>
      <w:pgSz w:w="11906" w:h="16838"/>
      <w:pgMar w:top="1440" w:right="1134" w:bottom="1134" w:left="1417"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6"/>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p>
    <w:pPr>
      <w:spacing w:line="140" w:lineRule="auto"/>
      <w:rPr>
        <w:rFonts w:ascii="Times New Roman" w:hAnsi="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41633817"/>
                          </w:sdtPr>
                          <w:sdtEndPr>
                            <w:rPr>
                              <w:rFonts w:ascii="Times New Roman" w:hAnsi="Times New Roman" w:cs="Times New Roman"/>
                            </w:rPr>
                          </w:sdtEndPr>
                          <w:sdtContent>
                            <w:p>
                              <w:pPr>
                                <w:pStyle w:val="1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16"/>
                            <w:jc w:val="center"/>
                          </w:pPr>
                        </w:p>
                        <w:p>
                          <w:pPr>
                            <w:pStyle w:val="35"/>
                            <w:ind w:left="420" w:firstLine="560"/>
                            <w:rPr>
                              <w:rFonts w:hint="default"/>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sdt>
                    <w:sdtPr>
                      <w:id w:val="-1241633817"/>
                    </w:sdtPr>
                    <w:sdtEndPr>
                      <w:rPr>
                        <w:rFonts w:ascii="Times New Roman" w:hAnsi="Times New Roman" w:cs="Times New Roman"/>
                      </w:rPr>
                    </w:sdtEndPr>
                    <w:sdtContent>
                      <w:p>
                        <w:pPr>
                          <w:pStyle w:val="1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16"/>
                      <w:jc w:val="center"/>
                    </w:pPr>
                  </w:p>
                  <w:p>
                    <w:pPr>
                      <w:pStyle w:val="35"/>
                      <w:ind w:left="420" w:firstLine="560"/>
                      <w:rPr>
                        <w:rFonts w:hint="default"/>
                      </w:rPr>
                    </w:pPr>
                  </w:p>
                </w:txbxContent>
              </v:textbox>
            </v:shape>
          </w:pict>
        </mc:Fallback>
      </mc:AlternateContent>
    </w:r>
  </w:p>
  <w:p>
    <w:pPr>
      <w:spacing w:line="140" w:lineRule="auto"/>
      <w:rPr>
        <w:rFonts w:ascii="Times New Roman" w:hAnsi="Times New Roman"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84579"/>
    <w:multiLevelType w:val="singleLevel"/>
    <w:tmpl w:val="54F84579"/>
    <w:lvl w:ilvl="0" w:tentative="0">
      <w:start w:val="1"/>
      <w:numFmt w:val="decimal"/>
      <w:pStyle w:val="20"/>
      <w:lvlText w:val="%1."/>
      <w:lvlJc w:val="left"/>
      <w:pPr>
        <w:tabs>
          <w:tab w:val="left" w:pos="1620"/>
        </w:tabs>
        <w:ind w:left="16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VlYjc4NTJjNzJhYTNlZTcyNDIwZmFiMWYyYzkyYzcifQ=="/>
  </w:docVars>
  <w:rsids>
    <w:rsidRoot w:val="00604262"/>
    <w:rsid w:val="00000F2C"/>
    <w:rsid w:val="00003323"/>
    <w:rsid w:val="0000449C"/>
    <w:rsid w:val="00005D37"/>
    <w:rsid w:val="00006EA2"/>
    <w:rsid w:val="00007087"/>
    <w:rsid w:val="00010083"/>
    <w:rsid w:val="00011279"/>
    <w:rsid w:val="000129D3"/>
    <w:rsid w:val="000156E6"/>
    <w:rsid w:val="00015FEC"/>
    <w:rsid w:val="00016F8E"/>
    <w:rsid w:val="00021F53"/>
    <w:rsid w:val="00022F97"/>
    <w:rsid w:val="00024631"/>
    <w:rsid w:val="0002733E"/>
    <w:rsid w:val="0002738A"/>
    <w:rsid w:val="0003124B"/>
    <w:rsid w:val="00031CA5"/>
    <w:rsid w:val="00037799"/>
    <w:rsid w:val="00037D0F"/>
    <w:rsid w:val="000431D3"/>
    <w:rsid w:val="00044544"/>
    <w:rsid w:val="00045614"/>
    <w:rsid w:val="00045C78"/>
    <w:rsid w:val="00047FA7"/>
    <w:rsid w:val="00047FF1"/>
    <w:rsid w:val="00050951"/>
    <w:rsid w:val="000512C5"/>
    <w:rsid w:val="0005488F"/>
    <w:rsid w:val="0005634E"/>
    <w:rsid w:val="00056A35"/>
    <w:rsid w:val="00056B1C"/>
    <w:rsid w:val="000575E2"/>
    <w:rsid w:val="000600B9"/>
    <w:rsid w:val="000633A8"/>
    <w:rsid w:val="0006547F"/>
    <w:rsid w:val="000747F4"/>
    <w:rsid w:val="00076617"/>
    <w:rsid w:val="0008321F"/>
    <w:rsid w:val="00087729"/>
    <w:rsid w:val="00091D8C"/>
    <w:rsid w:val="000969FB"/>
    <w:rsid w:val="000A543E"/>
    <w:rsid w:val="000A781C"/>
    <w:rsid w:val="000B10E5"/>
    <w:rsid w:val="000B2615"/>
    <w:rsid w:val="000B3A33"/>
    <w:rsid w:val="000B3E89"/>
    <w:rsid w:val="000B661F"/>
    <w:rsid w:val="000C7C32"/>
    <w:rsid w:val="000C7DC5"/>
    <w:rsid w:val="000D37BD"/>
    <w:rsid w:val="000D3BC8"/>
    <w:rsid w:val="000D5104"/>
    <w:rsid w:val="000D5396"/>
    <w:rsid w:val="000D7B77"/>
    <w:rsid w:val="000D7D29"/>
    <w:rsid w:val="000E38BF"/>
    <w:rsid w:val="000E6FE3"/>
    <w:rsid w:val="000E7459"/>
    <w:rsid w:val="000E7FFA"/>
    <w:rsid w:val="000F3587"/>
    <w:rsid w:val="000F7391"/>
    <w:rsid w:val="000F7C84"/>
    <w:rsid w:val="000F7CC7"/>
    <w:rsid w:val="00105827"/>
    <w:rsid w:val="00106FB6"/>
    <w:rsid w:val="00110631"/>
    <w:rsid w:val="001145E3"/>
    <w:rsid w:val="00117A5C"/>
    <w:rsid w:val="0012422A"/>
    <w:rsid w:val="0012552A"/>
    <w:rsid w:val="001303AA"/>
    <w:rsid w:val="00131860"/>
    <w:rsid w:val="00134F26"/>
    <w:rsid w:val="00140BC6"/>
    <w:rsid w:val="00140E5F"/>
    <w:rsid w:val="0014316D"/>
    <w:rsid w:val="0014418F"/>
    <w:rsid w:val="00152D1B"/>
    <w:rsid w:val="00156A70"/>
    <w:rsid w:val="00161F1D"/>
    <w:rsid w:val="00164278"/>
    <w:rsid w:val="001668E7"/>
    <w:rsid w:val="001711AB"/>
    <w:rsid w:val="001758BF"/>
    <w:rsid w:val="00181CB4"/>
    <w:rsid w:val="001833FC"/>
    <w:rsid w:val="00190CE0"/>
    <w:rsid w:val="00192629"/>
    <w:rsid w:val="00194F40"/>
    <w:rsid w:val="001966CA"/>
    <w:rsid w:val="0019692D"/>
    <w:rsid w:val="001A15D3"/>
    <w:rsid w:val="001A2F2C"/>
    <w:rsid w:val="001A36DF"/>
    <w:rsid w:val="001A52B6"/>
    <w:rsid w:val="001A618F"/>
    <w:rsid w:val="001A7976"/>
    <w:rsid w:val="001B58F9"/>
    <w:rsid w:val="001B7382"/>
    <w:rsid w:val="001C0525"/>
    <w:rsid w:val="001C1D4F"/>
    <w:rsid w:val="001C2043"/>
    <w:rsid w:val="001D0180"/>
    <w:rsid w:val="001D0890"/>
    <w:rsid w:val="001D1540"/>
    <w:rsid w:val="001D29D7"/>
    <w:rsid w:val="001D53CB"/>
    <w:rsid w:val="001D640F"/>
    <w:rsid w:val="001D67B9"/>
    <w:rsid w:val="001E13B3"/>
    <w:rsid w:val="001E1825"/>
    <w:rsid w:val="001E20C9"/>
    <w:rsid w:val="001E3734"/>
    <w:rsid w:val="001E38AB"/>
    <w:rsid w:val="001E3903"/>
    <w:rsid w:val="001E3EC8"/>
    <w:rsid w:val="001E7843"/>
    <w:rsid w:val="001F2477"/>
    <w:rsid w:val="001F4ED4"/>
    <w:rsid w:val="001F4FBA"/>
    <w:rsid w:val="001F6EB5"/>
    <w:rsid w:val="0020191C"/>
    <w:rsid w:val="00201F93"/>
    <w:rsid w:val="00202D80"/>
    <w:rsid w:val="00211F61"/>
    <w:rsid w:val="00212B15"/>
    <w:rsid w:val="00220919"/>
    <w:rsid w:val="00220B1B"/>
    <w:rsid w:val="00221170"/>
    <w:rsid w:val="0022216A"/>
    <w:rsid w:val="00222C1B"/>
    <w:rsid w:val="00222EFF"/>
    <w:rsid w:val="00224300"/>
    <w:rsid w:val="00225621"/>
    <w:rsid w:val="00225883"/>
    <w:rsid w:val="00227824"/>
    <w:rsid w:val="00231BF4"/>
    <w:rsid w:val="00231F77"/>
    <w:rsid w:val="00232197"/>
    <w:rsid w:val="00232EF5"/>
    <w:rsid w:val="00233D07"/>
    <w:rsid w:val="00240C2B"/>
    <w:rsid w:val="00243AE9"/>
    <w:rsid w:val="00243D15"/>
    <w:rsid w:val="00244169"/>
    <w:rsid w:val="00244B5A"/>
    <w:rsid w:val="00246157"/>
    <w:rsid w:val="0024761F"/>
    <w:rsid w:val="002514E9"/>
    <w:rsid w:val="002554F4"/>
    <w:rsid w:val="00255A8A"/>
    <w:rsid w:val="00263BAF"/>
    <w:rsid w:val="00272CE7"/>
    <w:rsid w:val="0027796D"/>
    <w:rsid w:val="002841D3"/>
    <w:rsid w:val="002866BC"/>
    <w:rsid w:val="00287575"/>
    <w:rsid w:val="0028767C"/>
    <w:rsid w:val="002906D0"/>
    <w:rsid w:val="002912A1"/>
    <w:rsid w:val="0029217B"/>
    <w:rsid w:val="002A1AB5"/>
    <w:rsid w:val="002A447B"/>
    <w:rsid w:val="002A4AD7"/>
    <w:rsid w:val="002A5052"/>
    <w:rsid w:val="002A5A13"/>
    <w:rsid w:val="002B0602"/>
    <w:rsid w:val="002B11AF"/>
    <w:rsid w:val="002B1D4A"/>
    <w:rsid w:val="002B23BA"/>
    <w:rsid w:val="002B3FFD"/>
    <w:rsid w:val="002B6583"/>
    <w:rsid w:val="002B6D09"/>
    <w:rsid w:val="002B6EFC"/>
    <w:rsid w:val="002D210C"/>
    <w:rsid w:val="002D3252"/>
    <w:rsid w:val="002D4F2D"/>
    <w:rsid w:val="002D6CE2"/>
    <w:rsid w:val="002E12EF"/>
    <w:rsid w:val="002E2407"/>
    <w:rsid w:val="002E70EF"/>
    <w:rsid w:val="002E7969"/>
    <w:rsid w:val="002E7B61"/>
    <w:rsid w:val="002E7C25"/>
    <w:rsid w:val="002F0E2D"/>
    <w:rsid w:val="002F1209"/>
    <w:rsid w:val="00300637"/>
    <w:rsid w:val="00300796"/>
    <w:rsid w:val="0030234F"/>
    <w:rsid w:val="003026D4"/>
    <w:rsid w:val="0030370B"/>
    <w:rsid w:val="003055A4"/>
    <w:rsid w:val="00316AA1"/>
    <w:rsid w:val="0032288B"/>
    <w:rsid w:val="00322CA1"/>
    <w:rsid w:val="00324981"/>
    <w:rsid w:val="0032523A"/>
    <w:rsid w:val="00330E1D"/>
    <w:rsid w:val="003335CA"/>
    <w:rsid w:val="003400F2"/>
    <w:rsid w:val="00341807"/>
    <w:rsid w:val="00341886"/>
    <w:rsid w:val="00346063"/>
    <w:rsid w:val="00346A56"/>
    <w:rsid w:val="003554B0"/>
    <w:rsid w:val="00356C9F"/>
    <w:rsid w:val="00361233"/>
    <w:rsid w:val="00361C51"/>
    <w:rsid w:val="00363DFC"/>
    <w:rsid w:val="00364366"/>
    <w:rsid w:val="003707EE"/>
    <w:rsid w:val="00370F41"/>
    <w:rsid w:val="0037340E"/>
    <w:rsid w:val="003748DE"/>
    <w:rsid w:val="0037795D"/>
    <w:rsid w:val="00377E3B"/>
    <w:rsid w:val="00380A3C"/>
    <w:rsid w:val="00381ECD"/>
    <w:rsid w:val="003820C3"/>
    <w:rsid w:val="003835F7"/>
    <w:rsid w:val="003854FF"/>
    <w:rsid w:val="003871D6"/>
    <w:rsid w:val="003938A1"/>
    <w:rsid w:val="003952DF"/>
    <w:rsid w:val="00395E2D"/>
    <w:rsid w:val="00397563"/>
    <w:rsid w:val="00397B1B"/>
    <w:rsid w:val="003A0A7D"/>
    <w:rsid w:val="003A78C4"/>
    <w:rsid w:val="003B01DD"/>
    <w:rsid w:val="003B170A"/>
    <w:rsid w:val="003B1C9A"/>
    <w:rsid w:val="003B3876"/>
    <w:rsid w:val="003B434B"/>
    <w:rsid w:val="003B4B05"/>
    <w:rsid w:val="003B636B"/>
    <w:rsid w:val="003C1103"/>
    <w:rsid w:val="003D1149"/>
    <w:rsid w:val="003D117B"/>
    <w:rsid w:val="003D1FF1"/>
    <w:rsid w:val="003D32E8"/>
    <w:rsid w:val="003E1991"/>
    <w:rsid w:val="003E1DE7"/>
    <w:rsid w:val="003E379C"/>
    <w:rsid w:val="003E47E4"/>
    <w:rsid w:val="003E5162"/>
    <w:rsid w:val="003E71D1"/>
    <w:rsid w:val="003E7A4B"/>
    <w:rsid w:val="003F090C"/>
    <w:rsid w:val="003F1E2A"/>
    <w:rsid w:val="0040217B"/>
    <w:rsid w:val="00411A6D"/>
    <w:rsid w:val="0042196C"/>
    <w:rsid w:val="004230A4"/>
    <w:rsid w:val="00424A95"/>
    <w:rsid w:val="004266D5"/>
    <w:rsid w:val="0043193F"/>
    <w:rsid w:val="00440636"/>
    <w:rsid w:val="004408A8"/>
    <w:rsid w:val="00444C69"/>
    <w:rsid w:val="00445EC2"/>
    <w:rsid w:val="00446D1F"/>
    <w:rsid w:val="00450C19"/>
    <w:rsid w:val="00454347"/>
    <w:rsid w:val="00461017"/>
    <w:rsid w:val="00465BEC"/>
    <w:rsid w:val="004701EA"/>
    <w:rsid w:val="00470CC4"/>
    <w:rsid w:val="00472960"/>
    <w:rsid w:val="0047329C"/>
    <w:rsid w:val="00473CF0"/>
    <w:rsid w:val="0047474E"/>
    <w:rsid w:val="0048150E"/>
    <w:rsid w:val="00484BF9"/>
    <w:rsid w:val="004851D0"/>
    <w:rsid w:val="004909B8"/>
    <w:rsid w:val="004916A9"/>
    <w:rsid w:val="0049227C"/>
    <w:rsid w:val="00492966"/>
    <w:rsid w:val="004970FD"/>
    <w:rsid w:val="004A1A4D"/>
    <w:rsid w:val="004A4126"/>
    <w:rsid w:val="004A59BE"/>
    <w:rsid w:val="004B21FD"/>
    <w:rsid w:val="004B3612"/>
    <w:rsid w:val="004B41C9"/>
    <w:rsid w:val="004B4914"/>
    <w:rsid w:val="004C5263"/>
    <w:rsid w:val="004C5DBD"/>
    <w:rsid w:val="004C6C8C"/>
    <w:rsid w:val="004C75A2"/>
    <w:rsid w:val="004D0AEA"/>
    <w:rsid w:val="004D0D06"/>
    <w:rsid w:val="004D3A30"/>
    <w:rsid w:val="004D41B1"/>
    <w:rsid w:val="004D5C8B"/>
    <w:rsid w:val="004D69E3"/>
    <w:rsid w:val="004E2235"/>
    <w:rsid w:val="004E3517"/>
    <w:rsid w:val="004E38AE"/>
    <w:rsid w:val="004E3A75"/>
    <w:rsid w:val="004E47D8"/>
    <w:rsid w:val="004E4C41"/>
    <w:rsid w:val="004E62CB"/>
    <w:rsid w:val="004F11B5"/>
    <w:rsid w:val="004F1B0A"/>
    <w:rsid w:val="004F3978"/>
    <w:rsid w:val="004F3E4A"/>
    <w:rsid w:val="004F5FAD"/>
    <w:rsid w:val="004F65D2"/>
    <w:rsid w:val="004F65E2"/>
    <w:rsid w:val="004F7D53"/>
    <w:rsid w:val="00504441"/>
    <w:rsid w:val="0050777E"/>
    <w:rsid w:val="00511B30"/>
    <w:rsid w:val="00517414"/>
    <w:rsid w:val="005230F7"/>
    <w:rsid w:val="00524FF2"/>
    <w:rsid w:val="00526885"/>
    <w:rsid w:val="005306F6"/>
    <w:rsid w:val="0054129A"/>
    <w:rsid w:val="0054160D"/>
    <w:rsid w:val="00542665"/>
    <w:rsid w:val="00542D5A"/>
    <w:rsid w:val="00543E8B"/>
    <w:rsid w:val="0054781B"/>
    <w:rsid w:val="00550DB0"/>
    <w:rsid w:val="0055180D"/>
    <w:rsid w:val="00552AB7"/>
    <w:rsid w:val="00557348"/>
    <w:rsid w:val="0056163F"/>
    <w:rsid w:val="005618AE"/>
    <w:rsid w:val="0056253B"/>
    <w:rsid w:val="00562DF7"/>
    <w:rsid w:val="00563471"/>
    <w:rsid w:val="00563A71"/>
    <w:rsid w:val="005643AD"/>
    <w:rsid w:val="00565112"/>
    <w:rsid w:val="00566E75"/>
    <w:rsid w:val="00572733"/>
    <w:rsid w:val="00572BA5"/>
    <w:rsid w:val="005746DC"/>
    <w:rsid w:val="005746E3"/>
    <w:rsid w:val="00581177"/>
    <w:rsid w:val="0058224F"/>
    <w:rsid w:val="00582817"/>
    <w:rsid w:val="005857E2"/>
    <w:rsid w:val="00587B80"/>
    <w:rsid w:val="00591E4B"/>
    <w:rsid w:val="00595EAA"/>
    <w:rsid w:val="005A065F"/>
    <w:rsid w:val="005A7E20"/>
    <w:rsid w:val="005B1891"/>
    <w:rsid w:val="005B2025"/>
    <w:rsid w:val="005B261E"/>
    <w:rsid w:val="005B7D9F"/>
    <w:rsid w:val="005C0571"/>
    <w:rsid w:val="005C2A8D"/>
    <w:rsid w:val="005C31B8"/>
    <w:rsid w:val="005C42E9"/>
    <w:rsid w:val="005C7953"/>
    <w:rsid w:val="005D0146"/>
    <w:rsid w:val="005D2954"/>
    <w:rsid w:val="005D4E84"/>
    <w:rsid w:val="005D5D27"/>
    <w:rsid w:val="005D6AA9"/>
    <w:rsid w:val="005D7EAA"/>
    <w:rsid w:val="005E0B56"/>
    <w:rsid w:val="005E1F0C"/>
    <w:rsid w:val="005E21FF"/>
    <w:rsid w:val="005E35B9"/>
    <w:rsid w:val="005E5533"/>
    <w:rsid w:val="005F11BD"/>
    <w:rsid w:val="005F2FCC"/>
    <w:rsid w:val="005F3169"/>
    <w:rsid w:val="005F3AB4"/>
    <w:rsid w:val="005F5145"/>
    <w:rsid w:val="005F7576"/>
    <w:rsid w:val="00602B7C"/>
    <w:rsid w:val="00604262"/>
    <w:rsid w:val="006044BE"/>
    <w:rsid w:val="00604C61"/>
    <w:rsid w:val="00605172"/>
    <w:rsid w:val="00612E1F"/>
    <w:rsid w:val="00616156"/>
    <w:rsid w:val="00616E4D"/>
    <w:rsid w:val="00617976"/>
    <w:rsid w:val="00623759"/>
    <w:rsid w:val="0062410A"/>
    <w:rsid w:val="00624AC2"/>
    <w:rsid w:val="0062686A"/>
    <w:rsid w:val="00631F29"/>
    <w:rsid w:val="006404B8"/>
    <w:rsid w:val="006452C4"/>
    <w:rsid w:val="00647415"/>
    <w:rsid w:val="006475C0"/>
    <w:rsid w:val="00650328"/>
    <w:rsid w:val="00650340"/>
    <w:rsid w:val="00652761"/>
    <w:rsid w:val="0066394C"/>
    <w:rsid w:val="00664CF6"/>
    <w:rsid w:val="00665598"/>
    <w:rsid w:val="0066633A"/>
    <w:rsid w:val="00667358"/>
    <w:rsid w:val="00671032"/>
    <w:rsid w:val="0067207A"/>
    <w:rsid w:val="006778AD"/>
    <w:rsid w:val="00680415"/>
    <w:rsid w:val="006804D8"/>
    <w:rsid w:val="00681912"/>
    <w:rsid w:val="00682B29"/>
    <w:rsid w:val="00685CE8"/>
    <w:rsid w:val="006932C1"/>
    <w:rsid w:val="006963B5"/>
    <w:rsid w:val="00696F26"/>
    <w:rsid w:val="0069772D"/>
    <w:rsid w:val="006A1539"/>
    <w:rsid w:val="006A1BB9"/>
    <w:rsid w:val="006A3CA9"/>
    <w:rsid w:val="006A4C37"/>
    <w:rsid w:val="006B0E28"/>
    <w:rsid w:val="006B3B78"/>
    <w:rsid w:val="006C0965"/>
    <w:rsid w:val="006C33CD"/>
    <w:rsid w:val="006C54F9"/>
    <w:rsid w:val="006D13B5"/>
    <w:rsid w:val="006E1649"/>
    <w:rsid w:val="006E2A41"/>
    <w:rsid w:val="006E3593"/>
    <w:rsid w:val="006E5C4A"/>
    <w:rsid w:val="006E5FFA"/>
    <w:rsid w:val="006E6B40"/>
    <w:rsid w:val="006F0EC2"/>
    <w:rsid w:val="006F2440"/>
    <w:rsid w:val="006F3422"/>
    <w:rsid w:val="006F3C4D"/>
    <w:rsid w:val="006F42F2"/>
    <w:rsid w:val="006F5BBE"/>
    <w:rsid w:val="0070010C"/>
    <w:rsid w:val="00703B97"/>
    <w:rsid w:val="00705FC8"/>
    <w:rsid w:val="00706391"/>
    <w:rsid w:val="0071004B"/>
    <w:rsid w:val="007106F7"/>
    <w:rsid w:val="00713B08"/>
    <w:rsid w:val="007142E4"/>
    <w:rsid w:val="0071461C"/>
    <w:rsid w:val="00715E3C"/>
    <w:rsid w:val="00722B24"/>
    <w:rsid w:val="00723259"/>
    <w:rsid w:val="007251F8"/>
    <w:rsid w:val="00726A85"/>
    <w:rsid w:val="007320B8"/>
    <w:rsid w:val="007324AC"/>
    <w:rsid w:val="00734C15"/>
    <w:rsid w:val="00734DA1"/>
    <w:rsid w:val="0073569D"/>
    <w:rsid w:val="007358B9"/>
    <w:rsid w:val="007400F9"/>
    <w:rsid w:val="00740BE2"/>
    <w:rsid w:val="00741FC6"/>
    <w:rsid w:val="007445D6"/>
    <w:rsid w:val="0074713C"/>
    <w:rsid w:val="0075133C"/>
    <w:rsid w:val="007521A0"/>
    <w:rsid w:val="00753AC1"/>
    <w:rsid w:val="007573CA"/>
    <w:rsid w:val="0076422B"/>
    <w:rsid w:val="00765595"/>
    <w:rsid w:val="00766344"/>
    <w:rsid w:val="0076780D"/>
    <w:rsid w:val="00767AFF"/>
    <w:rsid w:val="00773B02"/>
    <w:rsid w:val="007740C7"/>
    <w:rsid w:val="00774406"/>
    <w:rsid w:val="00782C12"/>
    <w:rsid w:val="00784C21"/>
    <w:rsid w:val="0078538C"/>
    <w:rsid w:val="00786EE1"/>
    <w:rsid w:val="00790BEE"/>
    <w:rsid w:val="00792877"/>
    <w:rsid w:val="00792DA7"/>
    <w:rsid w:val="007932E7"/>
    <w:rsid w:val="00796042"/>
    <w:rsid w:val="007965D5"/>
    <w:rsid w:val="007A3F7C"/>
    <w:rsid w:val="007A488F"/>
    <w:rsid w:val="007A5F1A"/>
    <w:rsid w:val="007B0385"/>
    <w:rsid w:val="007B06AC"/>
    <w:rsid w:val="007B0B4B"/>
    <w:rsid w:val="007B37CB"/>
    <w:rsid w:val="007C2234"/>
    <w:rsid w:val="007C371C"/>
    <w:rsid w:val="007C390F"/>
    <w:rsid w:val="007C530F"/>
    <w:rsid w:val="007D0869"/>
    <w:rsid w:val="007D0A73"/>
    <w:rsid w:val="007E35A0"/>
    <w:rsid w:val="007E473E"/>
    <w:rsid w:val="007F271B"/>
    <w:rsid w:val="007F3A12"/>
    <w:rsid w:val="007F3E09"/>
    <w:rsid w:val="007F4089"/>
    <w:rsid w:val="00801171"/>
    <w:rsid w:val="008072A6"/>
    <w:rsid w:val="00815DD7"/>
    <w:rsid w:val="00817DD3"/>
    <w:rsid w:val="008215A4"/>
    <w:rsid w:val="00821E34"/>
    <w:rsid w:val="00823F09"/>
    <w:rsid w:val="008278DD"/>
    <w:rsid w:val="00827F01"/>
    <w:rsid w:val="00830D51"/>
    <w:rsid w:val="0083101B"/>
    <w:rsid w:val="00831392"/>
    <w:rsid w:val="00832DD3"/>
    <w:rsid w:val="00833B16"/>
    <w:rsid w:val="008364B4"/>
    <w:rsid w:val="00841F79"/>
    <w:rsid w:val="0084355D"/>
    <w:rsid w:val="00844D8E"/>
    <w:rsid w:val="00845603"/>
    <w:rsid w:val="00845C07"/>
    <w:rsid w:val="00845F83"/>
    <w:rsid w:val="008467A0"/>
    <w:rsid w:val="00850034"/>
    <w:rsid w:val="00854C34"/>
    <w:rsid w:val="00857DDB"/>
    <w:rsid w:val="00860849"/>
    <w:rsid w:val="00861854"/>
    <w:rsid w:val="008674C1"/>
    <w:rsid w:val="008706CD"/>
    <w:rsid w:val="00870ED8"/>
    <w:rsid w:val="00871C99"/>
    <w:rsid w:val="00872533"/>
    <w:rsid w:val="008725FD"/>
    <w:rsid w:val="00875054"/>
    <w:rsid w:val="00884089"/>
    <w:rsid w:val="00884857"/>
    <w:rsid w:val="00884FE5"/>
    <w:rsid w:val="00887048"/>
    <w:rsid w:val="00890C34"/>
    <w:rsid w:val="00891065"/>
    <w:rsid w:val="0089175B"/>
    <w:rsid w:val="00891ABB"/>
    <w:rsid w:val="00897755"/>
    <w:rsid w:val="008A0B51"/>
    <w:rsid w:val="008B03CB"/>
    <w:rsid w:val="008C01D2"/>
    <w:rsid w:val="008C1FD9"/>
    <w:rsid w:val="008C5373"/>
    <w:rsid w:val="008C68E4"/>
    <w:rsid w:val="008C6B13"/>
    <w:rsid w:val="008C79EA"/>
    <w:rsid w:val="008D34A1"/>
    <w:rsid w:val="008D435F"/>
    <w:rsid w:val="008D691C"/>
    <w:rsid w:val="008E07D5"/>
    <w:rsid w:val="008E709A"/>
    <w:rsid w:val="008F0E2F"/>
    <w:rsid w:val="008F1C80"/>
    <w:rsid w:val="008F1C91"/>
    <w:rsid w:val="008F6F25"/>
    <w:rsid w:val="00900742"/>
    <w:rsid w:val="009008FF"/>
    <w:rsid w:val="0090480D"/>
    <w:rsid w:val="00904E74"/>
    <w:rsid w:val="009062D7"/>
    <w:rsid w:val="00910768"/>
    <w:rsid w:val="00913461"/>
    <w:rsid w:val="00914EBB"/>
    <w:rsid w:val="00922394"/>
    <w:rsid w:val="00925FE3"/>
    <w:rsid w:val="00926B72"/>
    <w:rsid w:val="00933112"/>
    <w:rsid w:val="00940D4E"/>
    <w:rsid w:val="00940DC0"/>
    <w:rsid w:val="009426A4"/>
    <w:rsid w:val="00943809"/>
    <w:rsid w:val="0094613A"/>
    <w:rsid w:val="00950E1D"/>
    <w:rsid w:val="00951DF7"/>
    <w:rsid w:val="0095209B"/>
    <w:rsid w:val="009536B3"/>
    <w:rsid w:val="0095394A"/>
    <w:rsid w:val="00955536"/>
    <w:rsid w:val="00961570"/>
    <w:rsid w:val="009624D8"/>
    <w:rsid w:val="0096264D"/>
    <w:rsid w:val="009639C2"/>
    <w:rsid w:val="00963B64"/>
    <w:rsid w:val="00964F7A"/>
    <w:rsid w:val="0096654B"/>
    <w:rsid w:val="00970BE4"/>
    <w:rsid w:val="009730AE"/>
    <w:rsid w:val="00975012"/>
    <w:rsid w:val="00980F0B"/>
    <w:rsid w:val="00982C9F"/>
    <w:rsid w:val="0098325A"/>
    <w:rsid w:val="009868B8"/>
    <w:rsid w:val="0098776E"/>
    <w:rsid w:val="00992DE2"/>
    <w:rsid w:val="00996D7C"/>
    <w:rsid w:val="00996DB9"/>
    <w:rsid w:val="0099722B"/>
    <w:rsid w:val="009A1A91"/>
    <w:rsid w:val="009A23B2"/>
    <w:rsid w:val="009A40E0"/>
    <w:rsid w:val="009A5779"/>
    <w:rsid w:val="009B784C"/>
    <w:rsid w:val="009C27BB"/>
    <w:rsid w:val="009C645D"/>
    <w:rsid w:val="009D58BC"/>
    <w:rsid w:val="009E0012"/>
    <w:rsid w:val="009E4378"/>
    <w:rsid w:val="009E52FE"/>
    <w:rsid w:val="009E5B36"/>
    <w:rsid w:val="009F32E8"/>
    <w:rsid w:val="009F3360"/>
    <w:rsid w:val="009F5982"/>
    <w:rsid w:val="009F63BE"/>
    <w:rsid w:val="00A012D7"/>
    <w:rsid w:val="00A0173C"/>
    <w:rsid w:val="00A01CFE"/>
    <w:rsid w:val="00A04ACC"/>
    <w:rsid w:val="00A0751E"/>
    <w:rsid w:val="00A128D6"/>
    <w:rsid w:val="00A15B10"/>
    <w:rsid w:val="00A22A18"/>
    <w:rsid w:val="00A22FDD"/>
    <w:rsid w:val="00A30306"/>
    <w:rsid w:val="00A332E4"/>
    <w:rsid w:val="00A41BD2"/>
    <w:rsid w:val="00A427F7"/>
    <w:rsid w:val="00A44456"/>
    <w:rsid w:val="00A51564"/>
    <w:rsid w:val="00A54C42"/>
    <w:rsid w:val="00A55C54"/>
    <w:rsid w:val="00A609DD"/>
    <w:rsid w:val="00A64E37"/>
    <w:rsid w:val="00A657A0"/>
    <w:rsid w:val="00A74EAF"/>
    <w:rsid w:val="00A75B7A"/>
    <w:rsid w:val="00A80B5E"/>
    <w:rsid w:val="00A82194"/>
    <w:rsid w:val="00A86162"/>
    <w:rsid w:val="00A90D93"/>
    <w:rsid w:val="00A91C56"/>
    <w:rsid w:val="00A92FED"/>
    <w:rsid w:val="00A93904"/>
    <w:rsid w:val="00A93917"/>
    <w:rsid w:val="00A9421F"/>
    <w:rsid w:val="00A9619D"/>
    <w:rsid w:val="00A96475"/>
    <w:rsid w:val="00A97056"/>
    <w:rsid w:val="00AA01FD"/>
    <w:rsid w:val="00AA1116"/>
    <w:rsid w:val="00AA1FED"/>
    <w:rsid w:val="00AA29E0"/>
    <w:rsid w:val="00AA50F1"/>
    <w:rsid w:val="00AA5B3E"/>
    <w:rsid w:val="00AB16F3"/>
    <w:rsid w:val="00AB1F9B"/>
    <w:rsid w:val="00AB26DB"/>
    <w:rsid w:val="00AC4DAD"/>
    <w:rsid w:val="00AD1CF8"/>
    <w:rsid w:val="00AD27DB"/>
    <w:rsid w:val="00AD302C"/>
    <w:rsid w:val="00AD311B"/>
    <w:rsid w:val="00AD3519"/>
    <w:rsid w:val="00AD38B0"/>
    <w:rsid w:val="00AD4139"/>
    <w:rsid w:val="00AD50E6"/>
    <w:rsid w:val="00AE0B4F"/>
    <w:rsid w:val="00AE2176"/>
    <w:rsid w:val="00AE2F23"/>
    <w:rsid w:val="00AE463C"/>
    <w:rsid w:val="00AE642D"/>
    <w:rsid w:val="00AE6B06"/>
    <w:rsid w:val="00AE7D1A"/>
    <w:rsid w:val="00AF597B"/>
    <w:rsid w:val="00AF76D2"/>
    <w:rsid w:val="00B0207C"/>
    <w:rsid w:val="00B0378B"/>
    <w:rsid w:val="00B05CC5"/>
    <w:rsid w:val="00B06943"/>
    <w:rsid w:val="00B0770D"/>
    <w:rsid w:val="00B077FA"/>
    <w:rsid w:val="00B07AE6"/>
    <w:rsid w:val="00B125EE"/>
    <w:rsid w:val="00B13F6A"/>
    <w:rsid w:val="00B2436E"/>
    <w:rsid w:val="00B31938"/>
    <w:rsid w:val="00B36051"/>
    <w:rsid w:val="00B36BC1"/>
    <w:rsid w:val="00B37156"/>
    <w:rsid w:val="00B373A2"/>
    <w:rsid w:val="00B428E1"/>
    <w:rsid w:val="00B475EE"/>
    <w:rsid w:val="00B50514"/>
    <w:rsid w:val="00B54D53"/>
    <w:rsid w:val="00B62E13"/>
    <w:rsid w:val="00B64517"/>
    <w:rsid w:val="00B679F3"/>
    <w:rsid w:val="00B703AF"/>
    <w:rsid w:val="00B7488F"/>
    <w:rsid w:val="00B7557B"/>
    <w:rsid w:val="00B819FA"/>
    <w:rsid w:val="00B81E24"/>
    <w:rsid w:val="00B842E9"/>
    <w:rsid w:val="00B85637"/>
    <w:rsid w:val="00B903BF"/>
    <w:rsid w:val="00B9156E"/>
    <w:rsid w:val="00B932F9"/>
    <w:rsid w:val="00B9384B"/>
    <w:rsid w:val="00B94732"/>
    <w:rsid w:val="00B94BBF"/>
    <w:rsid w:val="00B966F1"/>
    <w:rsid w:val="00B96AA6"/>
    <w:rsid w:val="00B9782B"/>
    <w:rsid w:val="00BA1533"/>
    <w:rsid w:val="00BA46FC"/>
    <w:rsid w:val="00BA47BF"/>
    <w:rsid w:val="00BA4CAF"/>
    <w:rsid w:val="00BA54B2"/>
    <w:rsid w:val="00BB2955"/>
    <w:rsid w:val="00BB4C42"/>
    <w:rsid w:val="00BB51FF"/>
    <w:rsid w:val="00BB738F"/>
    <w:rsid w:val="00BC023A"/>
    <w:rsid w:val="00BC19A8"/>
    <w:rsid w:val="00BC5C05"/>
    <w:rsid w:val="00BD01B8"/>
    <w:rsid w:val="00BD0710"/>
    <w:rsid w:val="00BD78B8"/>
    <w:rsid w:val="00BE1C99"/>
    <w:rsid w:val="00BE1F67"/>
    <w:rsid w:val="00BE78D3"/>
    <w:rsid w:val="00BF026D"/>
    <w:rsid w:val="00C0217F"/>
    <w:rsid w:val="00C046F1"/>
    <w:rsid w:val="00C10539"/>
    <w:rsid w:val="00C10690"/>
    <w:rsid w:val="00C118DA"/>
    <w:rsid w:val="00C11EEC"/>
    <w:rsid w:val="00C1699B"/>
    <w:rsid w:val="00C1755F"/>
    <w:rsid w:val="00C20768"/>
    <w:rsid w:val="00C25B1F"/>
    <w:rsid w:val="00C2684A"/>
    <w:rsid w:val="00C3027A"/>
    <w:rsid w:val="00C31880"/>
    <w:rsid w:val="00C32FA3"/>
    <w:rsid w:val="00C33253"/>
    <w:rsid w:val="00C333B3"/>
    <w:rsid w:val="00C344B3"/>
    <w:rsid w:val="00C3747F"/>
    <w:rsid w:val="00C40167"/>
    <w:rsid w:val="00C4118A"/>
    <w:rsid w:val="00C414D4"/>
    <w:rsid w:val="00C4317F"/>
    <w:rsid w:val="00C43AE3"/>
    <w:rsid w:val="00C44686"/>
    <w:rsid w:val="00C47A9F"/>
    <w:rsid w:val="00C51D35"/>
    <w:rsid w:val="00C55371"/>
    <w:rsid w:val="00C56B5A"/>
    <w:rsid w:val="00C57F0F"/>
    <w:rsid w:val="00C610D9"/>
    <w:rsid w:val="00C65A5C"/>
    <w:rsid w:val="00C6687D"/>
    <w:rsid w:val="00C70079"/>
    <w:rsid w:val="00C7018F"/>
    <w:rsid w:val="00C736F4"/>
    <w:rsid w:val="00C80693"/>
    <w:rsid w:val="00C81FD2"/>
    <w:rsid w:val="00C82833"/>
    <w:rsid w:val="00C844B4"/>
    <w:rsid w:val="00C84DF7"/>
    <w:rsid w:val="00C85068"/>
    <w:rsid w:val="00C960D2"/>
    <w:rsid w:val="00CA356D"/>
    <w:rsid w:val="00CA635D"/>
    <w:rsid w:val="00CB2453"/>
    <w:rsid w:val="00CB51B0"/>
    <w:rsid w:val="00CC19DB"/>
    <w:rsid w:val="00CC1AA5"/>
    <w:rsid w:val="00CC242E"/>
    <w:rsid w:val="00CC2DA5"/>
    <w:rsid w:val="00CC382A"/>
    <w:rsid w:val="00CC38E0"/>
    <w:rsid w:val="00CC5A51"/>
    <w:rsid w:val="00CD39A5"/>
    <w:rsid w:val="00CD5C91"/>
    <w:rsid w:val="00CD5ED4"/>
    <w:rsid w:val="00CD6972"/>
    <w:rsid w:val="00CD71FB"/>
    <w:rsid w:val="00CE3603"/>
    <w:rsid w:val="00CE4800"/>
    <w:rsid w:val="00CE52B7"/>
    <w:rsid w:val="00CE5375"/>
    <w:rsid w:val="00CF0868"/>
    <w:rsid w:val="00CF180B"/>
    <w:rsid w:val="00CF52F2"/>
    <w:rsid w:val="00CF6220"/>
    <w:rsid w:val="00D1013A"/>
    <w:rsid w:val="00D1281C"/>
    <w:rsid w:val="00D14DB3"/>
    <w:rsid w:val="00D206AB"/>
    <w:rsid w:val="00D25585"/>
    <w:rsid w:val="00D34472"/>
    <w:rsid w:val="00D34709"/>
    <w:rsid w:val="00D3585A"/>
    <w:rsid w:val="00D36840"/>
    <w:rsid w:val="00D369B6"/>
    <w:rsid w:val="00D374FD"/>
    <w:rsid w:val="00D4283E"/>
    <w:rsid w:val="00D42FA0"/>
    <w:rsid w:val="00D4503E"/>
    <w:rsid w:val="00D472D8"/>
    <w:rsid w:val="00D50AB1"/>
    <w:rsid w:val="00D51077"/>
    <w:rsid w:val="00D531AA"/>
    <w:rsid w:val="00D565D8"/>
    <w:rsid w:val="00D565ED"/>
    <w:rsid w:val="00D567BE"/>
    <w:rsid w:val="00D6022D"/>
    <w:rsid w:val="00D61EC5"/>
    <w:rsid w:val="00D62918"/>
    <w:rsid w:val="00D65F74"/>
    <w:rsid w:val="00D702D5"/>
    <w:rsid w:val="00D71EE7"/>
    <w:rsid w:val="00D73441"/>
    <w:rsid w:val="00D75826"/>
    <w:rsid w:val="00D809A4"/>
    <w:rsid w:val="00D8453B"/>
    <w:rsid w:val="00D84C1C"/>
    <w:rsid w:val="00D850EE"/>
    <w:rsid w:val="00D852AA"/>
    <w:rsid w:val="00D85A4A"/>
    <w:rsid w:val="00D86EA6"/>
    <w:rsid w:val="00D87733"/>
    <w:rsid w:val="00D90032"/>
    <w:rsid w:val="00D94B7F"/>
    <w:rsid w:val="00D951CB"/>
    <w:rsid w:val="00D95C70"/>
    <w:rsid w:val="00DA22F0"/>
    <w:rsid w:val="00DA2E37"/>
    <w:rsid w:val="00DA4180"/>
    <w:rsid w:val="00DA5732"/>
    <w:rsid w:val="00DB0FBC"/>
    <w:rsid w:val="00DB4671"/>
    <w:rsid w:val="00DB6037"/>
    <w:rsid w:val="00DB61E0"/>
    <w:rsid w:val="00DB65CC"/>
    <w:rsid w:val="00DB6DD0"/>
    <w:rsid w:val="00DB7C4D"/>
    <w:rsid w:val="00DC2A73"/>
    <w:rsid w:val="00DC3B41"/>
    <w:rsid w:val="00DC4BE8"/>
    <w:rsid w:val="00DC6286"/>
    <w:rsid w:val="00DC792B"/>
    <w:rsid w:val="00DD4265"/>
    <w:rsid w:val="00DD5C54"/>
    <w:rsid w:val="00DE4D54"/>
    <w:rsid w:val="00DE593A"/>
    <w:rsid w:val="00DF0155"/>
    <w:rsid w:val="00DF019D"/>
    <w:rsid w:val="00DF1FC2"/>
    <w:rsid w:val="00DF3B95"/>
    <w:rsid w:val="00DF4CF5"/>
    <w:rsid w:val="00DF5969"/>
    <w:rsid w:val="00DF6D12"/>
    <w:rsid w:val="00DF6EEC"/>
    <w:rsid w:val="00E037C4"/>
    <w:rsid w:val="00E06581"/>
    <w:rsid w:val="00E107A6"/>
    <w:rsid w:val="00E11417"/>
    <w:rsid w:val="00E15453"/>
    <w:rsid w:val="00E15F74"/>
    <w:rsid w:val="00E163F2"/>
    <w:rsid w:val="00E23B3A"/>
    <w:rsid w:val="00E246AF"/>
    <w:rsid w:val="00E2745A"/>
    <w:rsid w:val="00E27807"/>
    <w:rsid w:val="00E30817"/>
    <w:rsid w:val="00E32C29"/>
    <w:rsid w:val="00E33048"/>
    <w:rsid w:val="00E338B4"/>
    <w:rsid w:val="00E34641"/>
    <w:rsid w:val="00E406F8"/>
    <w:rsid w:val="00E44585"/>
    <w:rsid w:val="00E471E2"/>
    <w:rsid w:val="00E54826"/>
    <w:rsid w:val="00E60764"/>
    <w:rsid w:val="00E634EB"/>
    <w:rsid w:val="00E63FC1"/>
    <w:rsid w:val="00E64148"/>
    <w:rsid w:val="00E74D3C"/>
    <w:rsid w:val="00E75CAC"/>
    <w:rsid w:val="00E767B9"/>
    <w:rsid w:val="00E80A4C"/>
    <w:rsid w:val="00E83633"/>
    <w:rsid w:val="00E83C0B"/>
    <w:rsid w:val="00E85D71"/>
    <w:rsid w:val="00E86432"/>
    <w:rsid w:val="00E87D32"/>
    <w:rsid w:val="00E922EF"/>
    <w:rsid w:val="00E92EDA"/>
    <w:rsid w:val="00E93EEB"/>
    <w:rsid w:val="00EA2F3E"/>
    <w:rsid w:val="00EA3B7B"/>
    <w:rsid w:val="00EA6E78"/>
    <w:rsid w:val="00EA7779"/>
    <w:rsid w:val="00EB0690"/>
    <w:rsid w:val="00EB4BC3"/>
    <w:rsid w:val="00EB4F4A"/>
    <w:rsid w:val="00EB5B86"/>
    <w:rsid w:val="00EB6D06"/>
    <w:rsid w:val="00EB6EA0"/>
    <w:rsid w:val="00EB6F1E"/>
    <w:rsid w:val="00EB7D56"/>
    <w:rsid w:val="00EC442A"/>
    <w:rsid w:val="00EC4D22"/>
    <w:rsid w:val="00EC4F36"/>
    <w:rsid w:val="00ED369C"/>
    <w:rsid w:val="00ED5F94"/>
    <w:rsid w:val="00EE1A49"/>
    <w:rsid w:val="00EE1E21"/>
    <w:rsid w:val="00EE5FAF"/>
    <w:rsid w:val="00EE68E8"/>
    <w:rsid w:val="00EF49AA"/>
    <w:rsid w:val="00EF4B38"/>
    <w:rsid w:val="00EF5010"/>
    <w:rsid w:val="00EF6428"/>
    <w:rsid w:val="00EF69DD"/>
    <w:rsid w:val="00EF79B9"/>
    <w:rsid w:val="00F01273"/>
    <w:rsid w:val="00F01358"/>
    <w:rsid w:val="00F03FDA"/>
    <w:rsid w:val="00F04F18"/>
    <w:rsid w:val="00F13D32"/>
    <w:rsid w:val="00F216FD"/>
    <w:rsid w:val="00F227BF"/>
    <w:rsid w:val="00F24620"/>
    <w:rsid w:val="00F26183"/>
    <w:rsid w:val="00F26C65"/>
    <w:rsid w:val="00F32DBC"/>
    <w:rsid w:val="00F3374E"/>
    <w:rsid w:val="00F37E06"/>
    <w:rsid w:val="00F40E7C"/>
    <w:rsid w:val="00F43AAE"/>
    <w:rsid w:val="00F44952"/>
    <w:rsid w:val="00F46248"/>
    <w:rsid w:val="00F47603"/>
    <w:rsid w:val="00F47AAB"/>
    <w:rsid w:val="00F5122E"/>
    <w:rsid w:val="00F52328"/>
    <w:rsid w:val="00F549CF"/>
    <w:rsid w:val="00F56C0F"/>
    <w:rsid w:val="00F6135D"/>
    <w:rsid w:val="00F61F6D"/>
    <w:rsid w:val="00F62519"/>
    <w:rsid w:val="00F65D3B"/>
    <w:rsid w:val="00F70379"/>
    <w:rsid w:val="00F73B09"/>
    <w:rsid w:val="00F7441E"/>
    <w:rsid w:val="00F74BD4"/>
    <w:rsid w:val="00F7619B"/>
    <w:rsid w:val="00F76A08"/>
    <w:rsid w:val="00F76E5C"/>
    <w:rsid w:val="00F80641"/>
    <w:rsid w:val="00F81595"/>
    <w:rsid w:val="00F831B6"/>
    <w:rsid w:val="00F833DB"/>
    <w:rsid w:val="00F869F6"/>
    <w:rsid w:val="00F87AA5"/>
    <w:rsid w:val="00F91EEF"/>
    <w:rsid w:val="00F92F91"/>
    <w:rsid w:val="00F9603C"/>
    <w:rsid w:val="00FA09AE"/>
    <w:rsid w:val="00FA5831"/>
    <w:rsid w:val="00FA748A"/>
    <w:rsid w:val="00FA7A44"/>
    <w:rsid w:val="00FB2C0D"/>
    <w:rsid w:val="00FB5B11"/>
    <w:rsid w:val="00FB640E"/>
    <w:rsid w:val="00FB6C1D"/>
    <w:rsid w:val="00FB6C95"/>
    <w:rsid w:val="00FC4F02"/>
    <w:rsid w:val="00FC6F18"/>
    <w:rsid w:val="00FD25FA"/>
    <w:rsid w:val="00FD2B02"/>
    <w:rsid w:val="00FD69E2"/>
    <w:rsid w:val="00FE0EBE"/>
    <w:rsid w:val="00FE112A"/>
    <w:rsid w:val="00FE2198"/>
    <w:rsid w:val="00FE5122"/>
    <w:rsid w:val="00FE724E"/>
    <w:rsid w:val="00FF1632"/>
    <w:rsid w:val="00FF2ADB"/>
    <w:rsid w:val="00FF2FBE"/>
    <w:rsid w:val="00FF3D39"/>
    <w:rsid w:val="00FF4CEA"/>
    <w:rsid w:val="00FF7E6E"/>
    <w:rsid w:val="012E531C"/>
    <w:rsid w:val="02174769"/>
    <w:rsid w:val="022D2870"/>
    <w:rsid w:val="031A3BC8"/>
    <w:rsid w:val="05C7610C"/>
    <w:rsid w:val="05E50738"/>
    <w:rsid w:val="06DA6E0B"/>
    <w:rsid w:val="06F36C18"/>
    <w:rsid w:val="07C94B63"/>
    <w:rsid w:val="08036D19"/>
    <w:rsid w:val="08BA7DAA"/>
    <w:rsid w:val="093A4047"/>
    <w:rsid w:val="0C5862B0"/>
    <w:rsid w:val="0D17149D"/>
    <w:rsid w:val="0D3A5AF0"/>
    <w:rsid w:val="0D4E678B"/>
    <w:rsid w:val="0D5F6644"/>
    <w:rsid w:val="0DE17488"/>
    <w:rsid w:val="0E123F48"/>
    <w:rsid w:val="0EC72694"/>
    <w:rsid w:val="0FC86214"/>
    <w:rsid w:val="10821D05"/>
    <w:rsid w:val="11266094"/>
    <w:rsid w:val="11BD0FA1"/>
    <w:rsid w:val="11CD7E9D"/>
    <w:rsid w:val="12121D88"/>
    <w:rsid w:val="122C166B"/>
    <w:rsid w:val="12392160"/>
    <w:rsid w:val="126739ED"/>
    <w:rsid w:val="13E82D42"/>
    <w:rsid w:val="141C7944"/>
    <w:rsid w:val="1479272D"/>
    <w:rsid w:val="14D65DAB"/>
    <w:rsid w:val="151B4B55"/>
    <w:rsid w:val="15246C97"/>
    <w:rsid w:val="15C05F25"/>
    <w:rsid w:val="17B10AC3"/>
    <w:rsid w:val="19A462A0"/>
    <w:rsid w:val="1A165DEC"/>
    <w:rsid w:val="1A6E0E28"/>
    <w:rsid w:val="1B10201C"/>
    <w:rsid w:val="1B27627B"/>
    <w:rsid w:val="1B6602E3"/>
    <w:rsid w:val="1BC519FE"/>
    <w:rsid w:val="1C637B7E"/>
    <w:rsid w:val="1CA613B3"/>
    <w:rsid w:val="1CED5019"/>
    <w:rsid w:val="1D9D0416"/>
    <w:rsid w:val="1DA54606"/>
    <w:rsid w:val="1F771E67"/>
    <w:rsid w:val="1F7A0B88"/>
    <w:rsid w:val="1F7F6A07"/>
    <w:rsid w:val="1FC901F2"/>
    <w:rsid w:val="2011123A"/>
    <w:rsid w:val="20452EDD"/>
    <w:rsid w:val="20592181"/>
    <w:rsid w:val="209E5657"/>
    <w:rsid w:val="22503499"/>
    <w:rsid w:val="229F4722"/>
    <w:rsid w:val="232C6140"/>
    <w:rsid w:val="241B3283"/>
    <w:rsid w:val="24264FA9"/>
    <w:rsid w:val="25B51F4E"/>
    <w:rsid w:val="2713624A"/>
    <w:rsid w:val="273F2943"/>
    <w:rsid w:val="27500A35"/>
    <w:rsid w:val="27B80BA5"/>
    <w:rsid w:val="295B5899"/>
    <w:rsid w:val="29A93E4D"/>
    <w:rsid w:val="2A394890"/>
    <w:rsid w:val="2A751744"/>
    <w:rsid w:val="2A8276E2"/>
    <w:rsid w:val="2A8556F3"/>
    <w:rsid w:val="2ABA3475"/>
    <w:rsid w:val="2AF15CAA"/>
    <w:rsid w:val="2B002999"/>
    <w:rsid w:val="2B0E5301"/>
    <w:rsid w:val="2CA31F8E"/>
    <w:rsid w:val="2CAD7BC9"/>
    <w:rsid w:val="2CD7371B"/>
    <w:rsid w:val="2CEC425B"/>
    <w:rsid w:val="2DA63355"/>
    <w:rsid w:val="2E1D2B53"/>
    <w:rsid w:val="2EDC2460"/>
    <w:rsid w:val="2EE01F6B"/>
    <w:rsid w:val="2EE5593F"/>
    <w:rsid w:val="2F0A330F"/>
    <w:rsid w:val="2F280FAE"/>
    <w:rsid w:val="302155E9"/>
    <w:rsid w:val="309809A6"/>
    <w:rsid w:val="32306D68"/>
    <w:rsid w:val="32A41A99"/>
    <w:rsid w:val="32EE0FD3"/>
    <w:rsid w:val="33336FAB"/>
    <w:rsid w:val="333E6CA8"/>
    <w:rsid w:val="33813B89"/>
    <w:rsid w:val="339B146D"/>
    <w:rsid w:val="344961D7"/>
    <w:rsid w:val="349B13D2"/>
    <w:rsid w:val="35064C8D"/>
    <w:rsid w:val="350C028C"/>
    <w:rsid w:val="36E14494"/>
    <w:rsid w:val="374D253E"/>
    <w:rsid w:val="37C631C9"/>
    <w:rsid w:val="37CD1A92"/>
    <w:rsid w:val="37EC2B6A"/>
    <w:rsid w:val="389211E2"/>
    <w:rsid w:val="389629C5"/>
    <w:rsid w:val="38E62A8C"/>
    <w:rsid w:val="38FE45B8"/>
    <w:rsid w:val="39981CF9"/>
    <w:rsid w:val="39AD22D4"/>
    <w:rsid w:val="3A4A1F4B"/>
    <w:rsid w:val="3AF3473B"/>
    <w:rsid w:val="3B3335ED"/>
    <w:rsid w:val="3BE14D12"/>
    <w:rsid w:val="3C1A2C55"/>
    <w:rsid w:val="3CB47338"/>
    <w:rsid w:val="3CB75CCF"/>
    <w:rsid w:val="3D2722C1"/>
    <w:rsid w:val="3E0E05C4"/>
    <w:rsid w:val="3FAA0FD9"/>
    <w:rsid w:val="3FCE17F0"/>
    <w:rsid w:val="3FD509A3"/>
    <w:rsid w:val="3FE64227"/>
    <w:rsid w:val="41AA6014"/>
    <w:rsid w:val="41D8103C"/>
    <w:rsid w:val="41E5053F"/>
    <w:rsid w:val="42027EB9"/>
    <w:rsid w:val="424239A9"/>
    <w:rsid w:val="424821FC"/>
    <w:rsid w:val="42823258"/>
    <w:rsid w:val="42913967"/>
    <w:rsid w:val="42BE1B19"/>
    <w:rsid w:val="42CF4BF3"/>
    <w:rsid w:val="43D052C3"/>
    <w:rsid w:val="44D33835"/>
    <w:rsid w:val="44F076FB"/>
    <w:rsid w:val="45124340"/>
    <w:rsid w:val="45582F23"/>
    <w:rsid w:val="456E2BE8"/>
    <w:rsid w:val="459301C1"/>
    <w:rsid w:val="46982C05"/>
    <w:rsid w:val="47073D36"/>
    <w:rsid w:val="470D0F7A"/>
    <w:rsid w:val="484843BE"/>
    <w:rsid w:val="48DF2814"/>
    <w:rsid w:val="48EF5784"/>
    <w:rsid w:val="49C5669E"/>
    <w:rsid w:val="4A522F61"/>
    <w:rsid w:val="4B354FE2"/>
    <w:rsid w:val="4B7818BD"/>
    <w:rsid w:val="4BA64712"/>
    <w:rsid w:val="4CE95407"/>
    <w:rsid w:val="4D5A7CC2"/>
    <w:rsid w:val="4DDD0FE7"/>
    <w:rsid w:val="4E2049D1"/>
    <w:rsid w:val="4EA604F0"/>
    <w:rsid w:val="4EC71589"/>
    <w:rsid w:val="4EE1298C"/>
    <w:rsid w:val="4F785617"/>
    <w:rsid w:val="50C327DC"/>
    <w:rsid w:val="50E76C7D"/>
    <w:rsid w:val="51625027"/>
    <w:rsid w:val="51A16E16"/>
    <w:rsid w:val="51E91DC0"/>
    <w:rsid w:val="5243686B"/>
    <w:rsid w:val="528C28BF"/>
    <w:rsid w:val="52EF6F22"/>
    <w:rsid w:val="53773796"/>
    <w:rsid w:val="537B583E"/>
    <w:rsid w:val="5403395E"/>
    <w:rsid w:val="544F10BF"/>
    <w:rsid w:val="55DD0964"/>
    <w:rsid w:val="55E20F7A"/>
    <w:rsid w:val="56A7011A"/>
    <w:rsid w:val="56E40814"/>
    <w:rsid w:val="57F4493F"/>
    <w:rsid w:val="58766E06"/>
    <w:rsid w:val="58994158"/>
    <w:rsid w:val="58B2401F"/>
    <w:rsid w:val="59AD33BD"/>
    <w:rsid w:val="5A234B74"/>
    <w:rsid w:val="5B664F64"/>
    <w:rsid w:val="5B7B3CA5"/>
    <w:rsid w:val="5B9131F8"/>
    <w:rsid w:val="5BDA6ABF"/>
    <w:rsid w:val="5BE8574B"/>
    <w:rsid w:val="5C274DA2"/>
    <w:rsid w:val="5CEA2454"/>
    <w:rsid w:val="5CF8229D"/>
    <w:rsid w:val="5E4E2C22"/>
    <w:rsid w:val="5E6F7B32"/>
    <w:rsid w:val="5EB76167"/>
    <w:rsid w:val="5ED726CE"/>
    <w:rsid w:val="5F0945B6"/>
    <w:rsid w:val="5F146879"/>
    <w:rsid w:val="60A91285"/>
    <w:rsid w:val="61DA19C1"/>
    <w:rsid w:val="623E7CE7"/>
    <w:rsid w:val="62916F8B"/>
    <w:rsid w:val="63C04363"/>
    <w:rsid w:val="63CC4937"/>
    <w:rsid w:val="64177DEB"/>
    <w:rsid w:val="64521240"/>
    <w:rsid w:val="64AC6ADF"/>
    <w:rsid w:val="656508BB"/>
    <w:rsid w:val="66897989"/>
    <w:rsid w:val="68142AB8"/>
    <w:rsid w:val="68A43843"/>
    <w:rsid w:val="69027916"/>
    <w:rsid w:val="697C7F91"/>
    <w:rsid w:val="69A17C28"/>
    <w:rsid w:val="6A136636"/>
    <w:rsid w:val="6A1428D4"/>
    <w:rsid w:val="6A365B7C"/>
    <w:rsid w:val="6A4B3B5C"/>
    <w:rsid w:val="6AE06772"/>
    <w:rsid w:val="6B5B2064"/>
    <w:rsid w:val="6B731C4C"/>
    <w:rsid w:val="6C285910"/>
    <w:rsid w:val="6C66785E"/>
    <w:rsid w:val="6CA43E69"/>
    <w:rsid w:val="6CC85348"/>
    <w:rsid w:val="6CD2179D"/>
    <w:rsid w:val="6CD406C6"/>
    <w:rsid w:val="6D0B403C"/>
    <w:rsid w:val="6D812EE5"/>
    <w:rsid w:val="6FA2409D"/>
    <w:rsid w:val="71237DFB"/>
    <w:rsid w:val="714F7EB6"/>
    <w:rsid w:val="71A50E49"/>
    <w:rsid w:val="71B97BD3"/>
    <w:rsid w:val="72DE06F7"/>
    <w:rsid w:val="72F709F5"/>
    <w:rsid w:val="73E87C74"/>
    <w:rsid w:val="750755C5"/>
    <w:rsid w:val="7522330A"/>
    <w:rsid w:val="756845CD"/>
    <w:rsid w:val="775F4541"/>
    <w:rsid w:val="779A1CF5"/>
    <w:rsid w:val="77FD74CD"/>
    <w:rsid w:val="782F606D"/>
    <w:rsid w:val="78460589"/>
    <w:rsid w:val="78A82101"/>
    <w:rsid w:val="78EB1A45"/>
    <w:rsid w:val="792834A4"/>
    <w:rsid w:val="799936F7"/>
    <w:rsid w:val="79E74405"/>
    <w:rsid w:val="79EA4FB2"/>
    <w:rsid w:val="7A071C52"/>
    <w:rsid w:val="7A6F7527"/>
    <w:rsid w:val="7BC4670D"/>
    <w:rsid w:val="7C4411C4"/>
    <w:rsid w:val="7C7023D7"/>
    <w:rsid w:val="7CDD10B7"/>
    <w:rsid w:val="7D342994"/>
    <w:rsid w:val="7D6B6AB5"/>
    <w:rsid w:val="7D6D504C"/>
    <w:rsid w:val="7D7611DC"/>
    <w:rsid w:val="7DA80A43"/>
    <w:rsid w:val="7DEB4F1E"/>
    <w:rsid w:val="7E152483"/>
    <w:rsid w:val="7EAF18E6"/>
    <w:rsid w:val="7FDA42C7"/>
    <w:rsid w:val="7FE12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qFormat="1" w:unhideWhenUsed="0" w:uiPriority="0" w:semiHidden="0"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3">
    <w:name w:val="heading 1"/>
    <w:basedOn w:val="1"/>
    <w:next w:val="1"/>
    <w:link w:val="7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3"/>
    <w:unhideWhenUsed/>
    <w:qFormat/>
    <w:uiPriority w:val="0"/>
    <w:pPr>
      <w:spacing w:beforeAutospacing="1" w:afterAutospacing="1"/>
      <w:outlineLvl w:val="1"/>
    </w:pPr>
    <w:rPr>
      <w:rFonts w:hint="eastAsia" w:ascii="宋体" w:hAnsi="宋体" w:eastAsia="宋体" w:cs="Times New Roman"/>
      <w:b/>
      <w:sz w:val="36"/>
      <w:szCs w:val="36"/>
    </w:rPr>
  </w:style>
  <w:style w:type="paragraph" w:styleId="5">
    <w:name w:val="heading 3"/>
    <w:basedOn w:val="1"/>
    <w:next w:val="1"/>
    <w:link w:val="55"/>
    <w:unhideWhenUsed/>
    <w:qFormat/>
    <w:uiPriority w:val="0"/>
    <w:pPr>
      <w:keepNext/>
      <w:widowControl w:val="0"/>
      <w:overflowPunct w:val="0"/>
      <w:ind w:firstLine="640" w:firstLineChars="200"/>
      <w:jc w:val="both"/>
      <w:outlineLvl w:val="2"/>
    </w:pPr>
    <w:rPr>
      <w:rFonts w:hint="eastAsia" w:ascii="仿宋_GB2312" w:hAnsi="仿宋_GB2312" w:eastAsia="仿宋_GB2312" w:cs="Times New Roman"/>
      <w:b/>
      <w:sz w:val="30"/>
      <w:szCs w:val="32"/>
    </w:rPr>
  </w:style>
  <w:style w:type="paragraph" w:styleId="6">
    <w:name w:val="heading 4"/>
    <w:basedOn w:val="1"/>
    <w:next w:val="1"/>
    <w:link w:val="71"/>
    <w:qFormat/>
    <w:uiPriority w:val="0"/>
    <w:pPr>
      <w:keepNext/>
      <w:widowControl w:val="0"/>
      <w:kinsoku/>
      <w:autoSpaceDE/>
      <w:autoSpaceDN/>
      <w:adjustRightInd/>
      <w:spacing w:before="120" w:line="500" w:lineRule="atLeast"/>
      <w:ind w:firstLine="567"/>
      <w:jc w:val="both"/>
      <w:textAlignment w:val="auto"/>
      <w:outlineLvl w:val="3"/>
    </w:pPr>
    <w:rPr>
      <w:rFonts w:ascii="宋体" w:hAnsi="Times New Roman" w:eastAsia="宋体" w:cs="Times New Roman"/>
      <w:b/>
      <w:snapToGrid/>
      <w:color w:val="auto"/>
      <w:kern w:val="52"/>
      <w:sz w:val="27"/>
      <w:szCs w:val="20"/>
    </w:rPr>
  </w:style>
  <w:style w:type="paragraph" w:styleId="7">
    <w:name w:val="heading 5"/>
    <w:basedOn w:val="1"/>
    <w:next w:val="1"/>
    <w:link w:val="72"/>
    <w:qFormat/>
    <w:uiPriority w:val="0"/>
    <w:pPr>
      <w:keepNext/>
      <w:keepLines/>
      <w:widowControl w:val="0"/>
      <w:kinsoku/>
      <w:autoSpaceDE/>
      <w:autoSpaceDN/>
      <w:adjustRightInd/>
      <w:spacing w:line="500" w:lineRule="atLeast"/>
      <w:ind w:firstLine="851"/>
      <w:jc w:val="both"/>
      <w:textAlignment w:val="auto"/>
      <w:outlineLvl w:val="4"/>
    </w:pPr>
    <w:rPr>
      <w:rFonts w:ascii="宋体" w:hAnsi="Times New Roman" w:eastAsia="宋体" w:cs="Times New Roman"/>
      <w:snapToGrid/>
      <w:color w:val="auto"/>
      <w:kern w:val="52"/>
      <w:sz w:val="27"/>
      <w:szCs w:val="20"/>
    </w:rPr>
  </w:style>
  <w:style w:type="paragraph" w:styleId="8">
    <w:name w:val="heading 6"/>
    <w:basedOn w:val="1"/>
    <w:next w:val="1"/>
    <w:link w:val="73"/>
    <w:qFormat/>
    <w:uiPriority w:val="9"/>
    <w:pPr>
      <w:keepNext/>
      <w:keepLines/>
      <w:widowControl w:val="0"/>
      <w:kinsoku/>
      <w:autoSpaceDE/>
      <w:autoSpaceDN/>
      <w:adjustRightInd/>
      <w:spacing w:line="500" w:lineRule="atLeast"/>
      <w:ind w:firstLine="1134"/>
      <w:jc w:val="both"/>
      <w:textAlignment w:val="auto"/>
      <w:outlineLvl w:val="5"/>
    </w:pPr>
    <w:rPr>
      <w:rFonts w:ascii="宋体" w:eastAsia="宋体" w:cs="Times New Roman"/>
      <w:snapToGrid/>
      <w:color w:val="auto"/>
      <w:kern w:val="52"/>
      <w:sz w:val="27"/>
      <w:szCs w:val="20"/>
    </w:rPr>
  </w:style>
  <w:style w:type="paragraph" w:styleId="9">
    <w:name w:val="heading 7"/>
    <w:basedOn w:val="1"/>
    <w:next w:val="1"/>
    <w:link w:val="74"/>
    <w:qFormat/>
    <w:uiPriority w:val="0"/>
    <w:pPr>
      <w:keepNext/>
      <w:keepLines/>
      <w:widowControl w:val="0"/>
      <w:kinsoku/>
      <w:autoSpaceDE/>
      <w:autoSpaceDN/>
      <w:adjustRightInd/>
      <w:spacing w:line="460" w:lineRule="atLeast"/>
      <w:ind w:firstLine="1418"/>
      <w:jc w:val="both"/>
      <w:textAlignment w:val="auto"/>
      <w:outlineLvl w:val="6"/>
    </w:pPr>
    <w:rPr>
      <w:rFonts w:ascii="宋体" w:hAnsi="Times New Roman" w:eastAsia="宋体" w:cs="Times New Roman"/>
      <w:snapToGrid/>
      <w:color w:val="auto"/>
      <w:kern w:val="52"/>
      <w:sz w:val="26"/>
      <w:szCs w:val="20"/>
    </w:rPr>
  </w:style>
  <w:style w:type="paragraph" w:styleId="10">
    <w:name w:val="heading 8"/>
    <w:basedOn w:val="1"/>
    <w:next w:val="1"/>
    <w:link w:val="75"/>
    <w:qFormat/>
    <w:uiPriority w:val="0"/>
    <w:pPr>
      <w:keepNext/>
      <w:keepLines/>
      <w:widowControl w:val="0"/>
      <w:kinsoku/>
      <w:autoSpaceDE/>
      <w:autoSpaceDN/>
      <w:adjustRightInd/>
      <w:spacing w:line="460" w:lineRule="atLeast"/>
      <w:ind w:firstLine="1701"/>
      <w:jc w:val="both"/>
      <w:textAlignment w:val="auto"/>
      <w:outlineLvl w:val="7"/>
    </w:pPr>
    <w:rPr>
      <w:rFonts w:eastAsia="宋体" w:cs="Times New Roman"/>
      <w:snapToGrid/>
      <w:color w:val="auto"/>
      <w:kern w:val="52"/>
      <w:sz w:val="26"/>
      <w:szCs w:val="20"/>
    </w:rPr>
  </w:style>
  <w:style w:type="paragraph" w:styleId="11">
    <w:name w:val="heading 9"/>
    <w:basedOn w:val="1"/>
    <w:next w:val="1"/>
    <w:link w:val="76"/>
    <w:qFormat/>
    <w:uiPriority w:val="0"/>
    <w:pPr>
      <w:keepNext/>
      <w:keepLines/>
      <w:widowControl w:val="0"/>
      <w:kinsoku/>
      <w:autoSpaceDE/>
      <w:autoSpaceDN/>
      <w:adjustRightInd/>
      <w:spacing w:line="460" w:lineRule="atLeast"/>
      <w:ind w:firstLine="1985"/>
      <w:jc w:val="both"/>
      <w:textAlignment w:val="auto"/>
      <w:outlineLvl w:val="8"/>
    </w:pPr>
    <w:rPr>
      <w:rFonts w:eastAsia="宋体" w:cs="Times New Roman"/>
      <w:snapToGrid/>
      <w:color w:val="auto"/>
      <w:kern w:val="52"/>
      <w:sz w:val="26"/>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tabs>
        <w:tab w:val="right" w:leader="dot" w:pos="8659"/>
      </w:tabs>
      <w:spacing w:line="360" w:lineRule="auto"/>
    </w:pPr>
  </w:style>
  <w:style w:type="paragraph" w:styleId="12">
    <w:name w:val="toc 7"/>
    <w:basedOn w:val="1"/>
    <w:next w:val="1"/>
    <w:qFormat/>
    <w:uiPriority w:val="0"/>
    <w:pPr>
      <w:widowControl w:val="0"/>
      <w:kinsoku/>
      <w:autoSpaceDE/>
      <w:autoSpaceDN/>
      <w:adjustRightInd/>
      <w:snapToGrid/>
      <w:ind w:left="1260"/>
      <w:textAlignment w:val="auto"/>
    </w:pPr>
    <w:rPr>
      <w:rFonts w:ascii="Times New Roman" w:hAnsi="Times New Roman" w:eastAsia="宋体" w:cs="Times New Roman"/>
      <w:snapToGrid/>
      <w:color w:val="auto"/>
      <w:kern w:val="2"/>
      <w:sz w:val="18"/>
      <w:szCs w:val="18"/>
    </w:rPr>
  </w:style>
  <w:style w:type="paragraph" w:styleId="13">
    <w:name w:val="annotation text"/>
    <w:basedOn w:val="1"/>
    <w:link w:val="68"/>
    <w:unhideWhenUsed/>
    <w:qFormat/>
    <w:uiPriority w:val="0"/>
  </w:style>
  <w:style w:type="paragraph" w:styleId="14">
    <w:name w:val="Body Text"/>
    <w:basedOn w:val="1"/>
    <w:link w:val="98"/>
    <w:qFormat/>
    <w:uiPriority w:val="0"/>
    <w:pPr>
      <w:widowControl w:val="0"/>
      <w:kinsoku/>
      <w:autoSpaceDE/>
      <w:autoSpaceDN/>
      <w:adjustRightInd/>
      <w:snapToGrid/>
      <w:spacing w:after="120"/>
      <w:jc w:val="both"/>
      <w:textAlignment w:val="auto"/>
    </w:pPr>
    <w:rPr>
      <w:rFonts w:ascii="Times New Roman" w:hAnsi="Times New Roman" w:eastAsia="宋体" w:cs="Times New Roman"/>
      <w:snapToGrid/>
      <w:color w:val="auto"/>
      <w:kern w:val="2"/>
      <w:szCs w:val="24"/>
    </w:rPr>
  </w:style>
  <w:style w:type="paragraph" w:styleId="15">
    <w:name w:val="Body Text Indent"/>
    <w:basedOn w:val="1"/>
    <w:next w:val="16"/>
    <w:link w:val="92"/>
    <w:qFormat/>
    <w:uiPriority w:val="0"/>
    <w:pPr>
      <w:widowControl w:val="0"/>
      <w:tabs>
        <w:tab w:val="left" w:pos="720"/>
      </w:tabs>
      <w:kinsoku/>
      <w:autoSpaceDE/>
      <w:autoSpaceDN/>
      <w:adjustRightInd/>
      <w:snapToGrid/>
      <w:spacing w:line="680" w:lineRule="atLeast"/>
      <w:ind w:firstLine="560" w:firstLineChars="200"/>
      <w:jc w:val="both"/>
      <w:textAlignment w:val="auto"/>
    </w:pPr>
    <w:rPr>
      <w:rFonts w:ascii="仿宋_GB2312" w:hAnsi="宋体" w:eastAsia="仿宋_GB2312" w:cs="Times New Roman"/>
      <w:snapToGrid/>
      <w:color w:val="auto"/>
      <w:kern w:val="2"/>
      <w:sz w:val="28"/>
      <w:szCs w:val="30"/>
    </w:rPr>
  </w:style>
  <w:style w:type="paragraph" w:styleId="16">
    <w:name w:val="footer"/>
    <w:basedOn w:val="1"/>
    <w:link w:val="56"/>
    <w:unhideWhenUsed/>
    <w:qFormat/>
    <w:uiPriority w:val="99"/>
    <w:pPr>
      <w:tabs>
        <w:tab w:val="center" w:pos="4153"/>
        <w:tab w:val="right" w:pos="8306"/>
      </w:tabs>
    </w:pPr>
    <w:rPr>
      <w:sz w:val="18"/>
      <w:szCs w:val="18"/>
    </w:rPr>
  </w:style>
  <w:style w:type="paragraph" w:styleId="17">
    <w:name w:val="toc 5"/>
    <w:basedOn w:val="1"/>
    <w:next w:val="1"/>
    <w:qFormat/>
    <w:uiPriority w:val="0"/>
    <w:pPr>
      <w:widowControl w:val="0"/>
      <w:kinsoku/>
      <w:autoSpaceDE/>
      <w:autoSpaceDN/>
      <w:adjustRightInd/>
      <w:snapToGrid/>
      <w:ind w:left="840"/>
      <w:textAlignment w:val="auto"/>
    </w:pPr>
    <w:rPr>
      <w:rFonts w:ascii="Times New Roman" w:hAnsi="Times New Roman" w:eastAsia="宋体" w:cs="Times New Roman"/>
      <w:snapToGrid/>
      <w:color w:val="auto"/>
      <w:kern w:val="2"/>
      <w:sz w:val="18"/>
      <w:szCs w:val="18"/>
    </w:rPr>
  </w:style>
  <w:style w:type="paragraph" w:styleId="18">
    <w:name w:val="toc 3"/>
    <w:basedOn w:val="1"/>
    <w:next w:val="1"/>
    <w:unhideWhenUsed/>
    <w:qFormat/>
    <w:uiPriority w:val="39"/>
    <w:pPr>
      <w:ind w:left="840" w:leftChars="400"/>
    </w:pPr>
  </w:style>
  <w:style w:type="paragraph" w:styleId="19">
    <w:name w:val="Plain Text"/>
    <w:basedOn w:val="1"/>
    <w:link w:val="93"/>
    <w:qFormat/>
    <w:uiPriority w:val="0"/>
    <w:pPr>
      <w:widowControl w:val="0"/>
      <w:kinsoku/>
      <w:autoSpaceDE/>
      <w:autoSpaceDN/>
      <w:adjustRightInd/>
      <w:snapToGrid/>
      <w:jc w:val="both"/>
      <w:textAlignment w:val="auto"/>
    </w:pPr>
    <w:rPr>
      <w:rFonts w:ascii="宋体" w:hAnsi="Courier New" w:eastAsia="宋体" w:cs="Times New Roman"/>
      <w:snapToGrid/>
      <w:color w:val="auto"/>
      <w:kern w:val="2"/>
      <w:szCs w:val="24"/>
    </w:rPr>
  </w:style>
  <w:style w:type="paragraph" w:styleId="20">
    <w:name w:val="List Number 4"/>
    <w:basedOn w:val="1"/>
    <w:qFormat/>
    <w:uiPriority w:val="0"/>
    <w:pPr>
      <w:widowControl w:val="0"/>
      <w:numPr>
        <w:ilvl w:val="0"/>
        <w:numId w:val="1"/>
      </w:numPr>
      <w:kinsoku/>
      <w:autoSpaceDE/>
      <w:autoSpaceDN/>
      <w:adjustRightInd/>
      <w:snapToGrid/>
      <w:jc w:val="both"/>
      <w:textAlignment w:val="auto"/>
    </w:pPr>
    <w:rPr>
      <w:rFonts w:ascii="Times New Roman" w:hAnsi="Times New Roman" w:eastAsia="宋体" w:cs="Times New Roman"/>
      <w:snapToGrid/>
      <w:color w:val="auto"/>
      <w:kern w:val="2"/>
      <w:szCs w:val="24"/>
    </w:rPr>
  </w:style>
  <w:style w:type="paragraph" w:styleId="21">
    <w:name w:val="toc 8"/>
    <w:basedOn w:val="1"/>
    <w:next w:val="1"/>
    <w:qFormat/>
    <w:uiPriority w:val="0"/>
    <w:pPr>
      <w:widowControl w:val="0"/>
      <w:kinsoku/>
      <w:autoSpaceDE/>
      <w:autoSpaceDN/>
      <w:adjustRightInd/>
      <w:snapToGrid/>
      <w:ind w:left="1470"/>
      <w:textAlignment w:val="auto"/>
    </w:pPr>
    <w:rPr>
      <w:rFonts w:ascii="Times New Roman" w:hAnsi="Times New Roman" w:eastAsia="宋体" w:cs="Times New Roman"/>
      <w:snapToGrid/>
      <w:color w:val="auto"/>
      <w:kern w:val="2"/>
      <w:sz w:val="18"/>
      <w:szCs w:val="18"/>
    </w:rPr>
  </w:style>
  <w:style w:type="paragraph" w:styleId="22">
    <w:name w:val="Date"/>
    <w:basedOn w:val="1"/>
    <w:next w:val="1"/>
    <w:link w:val="85"/>
    <w:qFormat/>
    <w:uiPriority w:val="0"/>
    <w:pPr>
      <w:widowControl w:val="0"/>
      <w:kinsoku/>
      <w:autoSpaceDE/>
      <w:autoSpaceDN/>
      <w:adjustRightInd/>
      <w:snapToGrid/>
      <w:ind w:left="100" w:leftChars="2500"/>
      <w:jc w:val="both"/>
      <w:textAlignment w:val="auto"/>
    </w:pPr>
    <w:rPr>
      <w:rFonts w:ascii="Times New Roman" w:hAnsi="Times New Roman" w:eastAsia="宋体" w:cs="Times New Roman"/>
      <w:snapToGrid/>
      <w:color w:val="auto"/>
      <w:sz w:val="20"/>
      <w:szCs w:val="24"/>
    </w:rPr>
  </w:style>
  <w:style w:type="paragraph" w:styleId="23">
    <w:name w:val="Body Text Indent 2"/>
    <w:basedOn w:val="1"/>
    <w:link w:val="94"/>
    <w:qFormat/>
    <w:uiPriority w:val="0"/>
    <w:pPr>
      <w:widowControl w:val="0"/>
      <w:kinsoku/>
      <w:autoSpaceDE/>
      <w:autoSpaceDN/>
      <w:adjustRightInd/>
      <w:snapToGrid/>
      <w:spacing w:line="360" w:lineRule="auto"/>
      <w:ind w:firstLine="640"/>
      <w:jc w:val="both"/>
      <w:textAlignment w:val="auto"/>
    </w:pPr>
    <w:rPr>
      <w:rFonts w:ascii="仿宋_GB2312" w:hAnsi="宋体" w:eastAsia="仿宋_GB2312" w:cs="Times New Roman"/>
      <w:snapToGrid/>
      <w:color w:val="auto"/>
      <w:kern w:val="2"/>
      <w:sz w:val="28"/>
      <w:szCs w:val="30"/>
    </w:rPr>
  </w:style>
  <w:style w:type="paragraph" w:styleId="24">
    <w:name w:val="Balloon Text"/>
    <w:basedOn w:val="1"/>
    <w:link w:val="62"/>
    <w:unhideWhenUsed/>
    <w:qFormat/>
    <w:uiPriority w:val="99"/>
    <w:rPr>
      <w:sz w:val="18"/>
      <w:szCs w:val="18"/>
    </w:rPr>
  </w:style>
  <w:style w:type="paragraph" w:styleId="25">
    <w:name w:val="header"/>
    <w:basedOn w:val="1"/>
    <w:link w:val="54"/>
    <w:unhideWhenUsed/>
    <w:qFormat/>
    <w:uiPriority w:val="99"/>
    <w:pPr>
      <w:pBdr>
        <w:bottom w:val="single" w:color="auto" w:sz="6" w:space="1"/>
      </w:pBdr>
      <w:tabs>
        <w:tab w:val="center" w:pos="4153"/>
        <w:tab w:val="right" w:pos="8306"/>
      </w:tabs>
      <w:jc w:val="center"/>
    </w:pPr>
    <w:rPr>
      <w:sz w:val="18"/>
      <w:szCs w:val="18"/>
    </w:rPr>
  </w:style>
  <w:style w:type="paragraph" w:styleId="26">
    <w:name w:val="toc 4"/>
    <w:basedOn w:val="1"/>
    <w:next w:val="1"/>
    <w:qFormat/>
    <w:uiPriority w:val="0"/>
    <w:pPr>
      <w:widowControl w:val="0"/>
      <w:kinsoku/>
      <w:autoSpaceDE/>
      <w:autoSpaceDN/>
      <w:adjustRightInd/>
      <w:snapToGrid/>
      <w:ind w:left="630"/>
      <w:textAlignment w:val="auto"/>
    </w:pPr>
    <w:rPr>
      <w:rFonts w:ascii="Times New Roman" w:hAnsi="Times New Roman" w:eastAsia="宋体" w:cs="Times New Roman"/>
      <w:snapToGrid/>
      <w:color w:val="auto"/>
      <w:kern w:val="2"/>
      <w:sz w:val="18"/>
      <w:szCs w:val="18"/>
    </w:rPr>
  </w:style>
  <w:style w:type="paragraph" w:styleId="27">
    <w:name w:val="toc 6"/>
    <w:basedOn w:val="1"/>
    <w:next w:val="1"/>
    <w:qFormat/>
    <w:uiPriority w:val="0"/>
    <w:pPr>
      <w:widowControl w:val="0"/>
      <w:kinsoku/>
      <w:autoSpaceDE/>
      <w:autoSpaceDN/>
      <w:adjustRightInd/>
      <w:snapToGrid/>
      <w:ind w:left="1050"/>
      <w:textAlignment w:val="auto"/>
    </w:pPr>
    <w:rPr>
      <w:rFonts w:ascii="Times New Roman" w:hAnsi="Times New Roman" w:eastAsia="宋体" w:cs="Times New Roman"/>
      <w:snapToGrid/>
      <w:color w:val="auto"/>
      <w:kern w:val="2"/>
      <w:sz w:val="18"/>
      <w:szCs w:val="18"/>
    </w:rPr>
  </w:style>
  <w:style w:type="paragraph" w:styleId="28">
    <w:name w:val="Body Text Indent 3"/>
    <w:basedOn w:val="1"/>
    <w:link w:val="99"/>
    <w:qFormat/>
    <w:uiPriority w:val="0"/>
    <w:pPr>
      <w:widowControl w:val="0"/>
      <w:kinsoku/>
      <w:autoSpaceDE/>
      <w:autoSpaceDN/>
      <w:adjustRightInd/>
      <w:snapToGrid/>
      <w:spacing w:after="120"/>
      <w:ind w:left="420" w:leftChars="200"/>
      <w:jc w:val="both"/>
      <w:textAlignment w:val="auto"/>
    </w:pPr>
    <w:rPr>
      <w:rFonts w:ascii="Times New Roman" w:hAnsi="Times New Roman" w:eastAsia="宋体" w:cs="Times New Roman"/>
      <w:snapToGrid/>
      <w:color w:val="auto"/>
      <w:kern w:val="2"/>
      <w:sz w:val="16"/>
      <w:szCs w:val="16"/>
    </w:rPr>
  </w:style>
  <w:style w:type="paragraph" w:styleId="29">
    <w:name w:val="toc 2"/>
    <w:basedOn w:val="1"/>
    <w:next w:val="1"/>
    <w:unhideWhenUsed/>
    <w:qFormat/>
    <w:uiPriority w:val="39"/>
    <w:pPr>
      <w:ind w:left="420" w:leftChars="200"/>
    </w:pPr>
  </w:style>
  <w:style w:type="paragraph" w:styleId="30">
    <w:name w:val="toc 9"/>
    <w:basedOn w:val="1"/>
    <w:next w:val="1"/>
    <w:qFormat/>
    <w:uiPriority w:val="0"/>
    <w:pPr>
      <w:widowControl w:val="0"/>
      <w:kinsoku/>
      <w:autoSpaceDE/>
      <w:autoSpaceDN/>
      <w:adjustRightInd/>
      <w:snapToGrid/>
      <w:ind w:left="1680"/>
      <w:textAlignment w:val="auto"/>
    </w:pPr>
    <w:rPr>
      <w:rFonts w:ascii="Times New Roman" w:hAnsi="Times New Roman" w:eastAsia="宋体" w:cs="Times New Roman"/>
      <w:snapToGrid/>
      <w:color w:val="auto"/>
      <w:kern w:val="2"/>
      <w:sz w:val="18"/>
      <w:szCs w:val="18"/>
    </w:rPr>
  </w:style>
  <w:style w:type="paragraph" w:styleId="31">
    <w:name w:val="HTML Preformatted"/>
    <w:basedOn w:val="1"/>
    <w:link w:val="97"/>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textAlignment w:val="auto"/>
    </w:pPr>
    <w:rPr>
      <w:rFonts w:ascii="宋体" w:hAnsi="宋体" w:eastAsia="宋体" w:cs="Times New Roman"/>
      <w:snapToGrid/>
      <w:color w:val="auto"/>
      <w:kern w:val="2"/>
      <w:szCs w:val="24"/>
    </w:rPr>
  </w:style>
  <w:style w:type="paragraph" w:styleId="32">
    <w:name w:val="Normal (Web)"/>
    <w:basedOn w:val="1"/>
    <w:unhideWhenUsed/>
    <w:qFormat/>
    <w:uiPriority w:val="99"/>
    <w:pPr>
      <w:spacing w:beforeAutospacing="1" w:afterAutospacing="1"/>
    </w:pPr>
    <w:rPr>
      <w:rFonts w:cs="Times New Roman"/>
      <w:sz w:val="24"/>
    </w:rPr>
  </w:style>
  <w:style w:type="paragraph" w:styleId="33">
    <w:name w:val="Title"/>
    <w:basedOn w:val="1"/>
    <w:next w:val="1"/>
    <w:link w:val="117"/>
    <w:qFormat/>
    <w:uiPriority w:val="99"/>
    <w:pPr>
      <w:widowControl w:val="0"/>
      <w:kinsoku/>
      <w:autoSpaceDE/>
      <w:autoSpaceDN/>
      <w:adjustRightInd/>
      <w:snapToGrid/>
      <w:spacing w:line="360" w:lineRule="auto"/>
      <w:textAlignment w:val="auto"/>
      <w:outlineLvl w:val="0"/>
    </w:pPr>
    <w:rPr>
      <w:rFonts w:ascii="Cambria" w:hAnsi="Cambria" w:eastAsia="黑体" w:cs="Times New Roman"/>
      <w:b/>
      <w:bCs/>
      <w:snapToGrid/>
      <w:color w:val="auto"/>
      <w:kern w:val="2"/>
      <w:sz w:val="32"/>
      <w:szCs w:val="32"/>
    </w:rPr>
  </w:style>
  <w:style w:type="paragraph" w:styleId="34">
    <w:name w:val="annotation subject"/>
    <w:basedOn w:val="13"/>
    <w:next w:val="13"/>
    <w:link w:val="69"/>
    <w:unhideWhenUsed/>
    <w:qFormat/>
    <w:uiPriority w:val="0"/>
    <w:rPr>
      <w:b/>
      <w:bCs/>
    </w:rPr>
  </w:style>
  <w:style w:type="paragraph" w:styleId="35">
    <w:name w:val="Body Text First Indent 2"/>
    <w:basedOn w:val="15"/>
    <w:next w:val="1"/>
    <w:link w:val="122"/>
    <w:qFormat/>
    <w:uiPriority w:val="0"/>
    <w:pPr>
      <w:spacing w:before="100" w:beforeAutospacing="1" w:after="120"/>
      <w:ind w:left="200" w:leftChars="200" w:firstLine="200"/>
      <w:jc w:val="left"/>
    </w:pPr>
    <w:rPr>
      <w:rFonts w:hint="eastAsia" w:ascii="Times New Roman" w:hAnsi="Times New Roman"/>
      <w:kern w:val="0"/>
    </w:rPr>
  </w:style>
  <w:style w:type="table" w:styleId="37">
    <w:name w:val="Table Grid"/>
    <w:basedOn w:val="3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22"/>
    <w:rPr>
      <w:b/>
      <w:bCs/>
    </w:rPr>
  </w:style>
  <w:style w:type="character" w:styleId="40">
    <w:name w:val="page number"/>
    <w:basedOn w:val="38"/>
    <w:qFormat/>
    <w:uiPriority w:val="0"/>
  </w:style>
  <w:style w:type="character" w:styleId="41">
    <w:name w:val="FollowedHyperlink"/>
    <w:qFormat/>
    <w:uiPriority w:val="0"/>
    <w:rPr>
      <w:color w:val="800080"/>
      <w:u w:val="none"/>
    </w:rPr>
  </w:style>
  <w:style w:type="character" w:styleId="42">
    <w:name w:val="Emphasis"/>
    <w:qFormat/>
    <w:uiPriority w:val="0"/>
    <w:rPr>
      <w:b/>
    </w:rPr>
  </w:style>
  <w:style w:type="character" w:styleId="43">
    <w:name w:val="HTML Definition"/>
    <w:qFormat/>
    <w:uiPriority w:val="0"/>
  </w:style>
  <w:style w:type="character" w:styleId="44">
    <w:name w:val="HTML Typewriter"/>
    <w:qFormat/>
    <w:uiPriority w:val="0"/>
    <w:rPr>
      <w:rFonts w:hint="default" w:ascii="monospace" w:hAnsi="monospace" w:eastAsia="monospace" w:cs="monospace"/>
      <w:sz w:val="20"/>
    </w:rPr>
  </w:style>
  <w:style w:type="character" w:styleId="45">
    <w:name w:val="HTML Acronym"/>
    <w:basedOn w:val="38"/>
    <w:qFormat/>
    <w:uiPriority w:val="0"/>
  </w:style>
  <w:style w:type="character" w:styleId="46">
    <w:name w:val="HTML Variable"/>
    <w:qFormat/>
    <w:uiPriority w:val="0"/>
  </w:style>
  <w:style w:type="character" w:styleId="47">
    <w:name w:val="Hyperlink"/>
    <w:basedOn w:val="38"/>
    <w:unhideWhenUsed/>
    <w:qFormat/>
    <w:uiPriority w:val="99"/>
    <w:rPr>
      <w:color w:val="0000FF" w:themeColor="hyperlink"/>
      <w:u w:val="single"/>
      <w14:textFill>
        <w14:solidFill>
          <w14:schemeClr w14:val="hlink"/>
        </w14:solidFill>
      </w14:textFill>
    </w:rPr>
  </w:style>
  <w:style w:type="character" w:styleId="48">
    <w:name w:val="HTML Code"/>
    <w:qFormat/>
    <w:uiPriority w:val="0"/>
    <w:rPr>
      <w:rFonts w:hint="default" w:ascii="monospace" w:hAnsi="monospace" w:eastAsia="monospace" w:cs="monospace"/>
      <w:sz w:val="20"/>
    </w:rPr>
  </w:style>
  <w:style w:type="character" w:styleId="49">
    <w:name w:val="annotation reference"/>
    <w:basedOn w:val="38"/>
    <w:unhideWhenUsed/>
    <w:qFormat/>
    <w:uiPriority w:val="0"/>
    <w:rPr>
      <w:sz w:val="21"/>
      <w:szCs w:val="21"/>
    </w:rPr>
  </w:style>
  <w:style w:type="character" w:styleId="50">
    <w:name w:val="HTML Cite"/>
    <w:qFormat/>
    <w:uiPriority w:val="0"/>
  </w:style>
  <w:style w:type="character" w:styleId="51">
    <w:name w:val="HTML Keyboard"/>
    <w:qFormat/>
    <w:uiPriority w:val="0"/>
    <w:rPr>
      <w:rFonts w:ascii="monospace" w:hAnsi="monospace" w:eastAsia="monospace" w:cs="monospace"/>
      <w:sz w:val="20"/>
    </w:rPr>
  </w:style>
  <w:style w:type="character" w:styleId="52">
    <w:name w:val="HTML Sample"/>
    <w:qFormat/>
    <w:uiPriority w:val="0"/>
    <w:rPr>
      <w:rFonts w:hint="default" w:ascii="monospace" w:hAnsi="monospace" w:eastAsia="monospace" w:cs="monospace"/>
    </w:rPr>
  </w:style>
  <w:style w:type="character" w:customStyle="1" w:styleId="53">
    <w:name w:val="标题 2 字符"/>
    <w:basedOn w:val="38"/>
    <w:link w:val="4"/>
    <w:qFormat/>
    <w:uiPriority w:val="0"/>
    <w:rPr>
      <w:rFonts w:ascii="宋体" w:hAnsi="宋体" w:eastAsia="宋体" w:cs="Times New Roman"/>
      <w:b/>
      <w:snapToGrid w:val="0"/>
      <w:color w:val="000000"/>
      <w:kern w:val="0"/>
      <w:sz w:val="36"/>
      <w:szCs w:val="36"/>
    </w:rPr>
  </w:style>
  <w:style w:type="character" w:customStyle="1" w:styleId="54">
    <w:name w:val="页眉 字符"/>
    <w:basedOn w:val="38"/>
    <w:link w:val="25"/>
    <w:qFormat/>
    <w:uiPriority w:val="99"/>
    <w:rPr>
      <w:rFonts w:ascii="Arial" w:hAnsi="Arial" w:cs="Arial"/>
      <w:snapToGrid w:val="0"/>
      <w:color w:val="000000"/>
      <w:kern w:val="0"/>
      <w:sz w:val="18"/>
      <w:szCs w:val="18"/>
    </w:rPr>
  </w:style>
  <w:style w:type="character" w:customStyle="1" w:styleId="55">
    <w:name w:val="标题 3 字符"/>
    <w:basedOn w:val="38"/>
    <w:link w:val="5"/>
    <w:qFormat/>
    <w:uiPriority w:val="0"/>
    <w:rPr>
      <w:rFonts w:ascii="仿宋_GB2312" w:hAnsi="仿宋_GB2312" w:eastAsia="仿宋_GB2312" w:cs="Times New Roman"/>
      <w:b/>
      <w:snapToGrid w:val="0"/>
      <w:color w:val="000000"/>
      <w:kern w:val="0"/>
      <w:sz w:val="30"/>
      <w:szCs w:val="32"/>
    </w:rPr>
  </w:style>
  <w:style w:type="character" w:customStyle="1" w:styleId="56">
    <w:name w:val="页脚 字符"/>
    <w:basedOn w:val="38"/>
    <w:link w:val="16"/>
    <w:qFormat/>
    <w:uiPriority w:val="99"/>
    <w:rPr>
      <w:rFonts w:ascii="Arial" w:hAnsi="Arial" w:cs="Arial"/>
      <w:snapToGrid w:val="0"/>
      <w:color w:val="000000"/>
      <w:kern w:val="0"/>
      <w:sz w:val="18"/>
      <w:szCs w:val="18"/>
    </w:rPr>
  </w:style>
  <w:style w:type="table" w:customStyle="1" w:styleId="57">
    <w:name w:val="Table Normal"/>
    <w:semiHidden/>
    <w:unhideWhenUsed/>
    <w:qFormat/>
    <w:uiPriority w:val="0"/>
    <w:rPr>
      <w:rFonts w:ascii="Calibri" w:hAnsi="Calibri" w:cs="Calibri"/>
    </w:rPr>
    <w:tblPr>
      <w:tblCellMar>
        <w:top w:w="0" w:type="dxa"/>
        <w:left w:w="0" w:type="dxa"/>
        <w:bottom w:w="0" w:type="dxa"/>
        <w:right w:w="0" w:type="dxa"/>
      </w:tblCellMar>
    </w:tblPr>
  </w:style>
  <w:style w:type="character" w:customStyle="1" w:styleId="58">
    <w:name w:val="font51"/>
    <w:basedOn w:val="38"/>
    <w:qFormat/>
    <w:uiPriority w:val="0"/>
    <w:rPr>
      <w:rFonts w:hint="eastAsia" w:ascii="宋体" w:hAnsi="宋体" w:eastAsia="宋体" w:cs="宋体"/>
      <w:color w:val="auto"/>
      <w:sz w:val="20"/>
      <w:szCs w:val="20"/>
      <w:u w:val="none"/>
    </w:rPr>
  </w:style>
  <w:style w:type="character" w:customStyle="1" w:styleId="59">
    <w:name w:val="font61"/>
    <w:basedOn w:val="38"/>
    <w:qFormat/>
    <w:uiPriority w:val="0"/>
    <w:rPr>
      <w:rFonts w:hint="default" w:ascii="Arial" w:hAnsi="Arial" w:cs="Arial"/>
      <w:color w:val="auto"/>
      <w:sz w:val="20"/>
      <w:szCs w:val="20"/>
      <w:u w:val="none"/>
    </w:rPr>
  </w:style>
  <w:style w:type="character" w:customStyle="1" w:styleId="60">
    <w:name w:val="font31"/>
    <w:basedOn w:val="38"/>
    <w:qFormat/>
    <w:uiPriority w:val="0"/>
    <w:rPr>
      <w:rFonts w:hint="eastAsia" w:ascii="宋体" w:hAnsi="宋体" w:eastAsia="宋体" w:cs="宋体"/>
      <w:color w:val="000000"/>
      <w:sz w:val="28"/>
      <w:szCs w:val="28"/>
      <w:u w:val="none"/>
    </w:rPr>
  </w:style>
  <w:style w:type="paragraph" w:customStyle="1" w:styleId="61">
    <w:name w:val="msolistparagraph"/>
    <w:basedOn w:val="1"/>
    <w:qFormat/>
    <w:uiPriority w:val="0"/>
    <w:pPr>
      <w:widowControl w:val="0"/>
      <w:ind w:firstLine="420" w:firstLineChars="200"/>
      <w:jc w:val="both"/>
    </w:pPr>
    <w:rPr>
      <w:rFonts w:ascii="Calibri" w:hAnsi="Calibri" w:eastAsia="宋体" w:cs="Times New Roman"/>
      <w:kern w:val="2"/>
      <w:szCs w:val="22"/>
    </w:rPr>
  </w:style>
  <w:style w:type="character" w:customStyle="1" w:styleId="62">
    <w:name w:val="批注框文本 字符"/>
    <w:basedOn w:val="38"/>
    <w:link w:val="24"/>
    <w:qFormat/>
    <w:uiPriority w:val="99"/>
    <w:rPr>
      <w:rFonts w:ascii="Arial" w:hAnsi="Arial" w:cs="Arial" w:eastAsiaTheme="minorEastAsia"/>
      <w:snapToGrid w:val="0"/>
      <w:color w:val="000000"/>
      <w:sz w:val="18"/>
      <w:szCs w:val="18"/>
    </w:rPr>
  </w:style>
  <w:style w:type="character" w:customStyle="1" w:styleId="63">
    <w:name w:val="font41"/>
    <w:basedOn w:val="38"/>
    <w:qFormat/>
    <w:uiPriority w:val="0"/>
    <w:rPr>
      <w:rFonts w:hint="eastAsia" w:ascii="宋体" w:hAnsi="宋体" w:eastAsia="宋体" w:cs="宋体"/>
      <w:color w:val="000000"/>
      <w:sz w:val="24"/>
      <w:szCs w:val="24"/>
      <w:u w:val="none"/>
    </w:rPr>
  </w:style>
  <w:style w:type="character" w:customStyle="1" w:styleId="64">
    <w:name w:val="font11"/>
    <w:basedOn w:val="38"/>
    <w:qFormat/>
    <w:uiPriority w:val="0"/>
    <w:rPr>
      <w:rFonts w:hint="eastAsia" w:ascii="黑体" w:hAnsi="宋体" w:eastAsia="黑体" w:cs="黑体"/>
      <w:color w:val="000000"/>
      <w:sz w:val="18"/>
      <w:szCs w:val="18"/>
      <w:u w:val="none"/>
    </w:rPr>
  </w:style>
  <w:style w:type="character" w:customStyle="1" w:styleId="65">
    <w:name w:val="font21"/>
    <w:basedOn w:val="38"/>
    <w:qFormat/>
    <w:uiPriority w:val="0"/>
    <w:rPr>
      <w:rFonts w:ascii="Arial" w:hAnsi="Arial" w:cs="Arial"/>
      <w:color w:val="000000"/>
      <w:sz w:val="18"/>
      <w:szCs w:val="18"/>
      <w:u w:val="none"/>
    </w:rPr>
  </w:style>
  <w:style w:type="character" w:customStyle="1" w:styleId="66">
    <w:name w:val="font01"/>
    <w:basedOn w:val="38"/>
    <w:qFormat/>
    <w:uiPriority w:val="0"/>
    <w:rPr>
      <w:rFonts w:hint="eastAsia" w:ascii="黑体" w:hAnsi="宋体" w:eastAsia="黑体" w:cs="黑体"/>
      <w:b/>
      <w:color w:val="000000"/>
      <w:sz w:val="22"/>
      <w:szCs w:val="22"/>
      <w:u w:val="none"/>
    </w:rPr>
  </w:style>
  <w:style w:type="paragraph" w:styleId="67">
    <w:name w:val="List Paragraph"/>
    <w:basedOn w:val="1"/>
    <w:link w:val="84"/>
    <w:unhideWhenUsed/>
    <w:qFormat/>
    <w:uiPriority w:val="34"/>
    <w:pPr>
      <w:ind w:firstLine="420" w:firstLineChars="200"/>
    </w:pPr>
  </w:style>
  <w:style w:type="character" w:customStyle="1" w:styleId="68">
    <w:name w:val="批注文字 字符"/>
    <w:basedOn w:val="38"/>
    <w:link w:val="13"/>
    <w:qFormat/>
    <w:uiPriority w:val="0"/>
    <w:rPr>
      <w:rFonts w:ascii="Arial" w:hAnsi="Arial" w:cs="Arial" w:eastAsiaTheme="minorEastAsia"/>
      <w:snapToGrid w:val="0"/>
      <w:color w:val="000000"/>
      <w:sz w:val="21"/>
      <w:szCs w:val="21"/>
    </w:rPr>
  </w:style>
  <w:style w:type="character" w:customStyle="1" w:styleId="69">
    <w:name w:val="批注主题 字符"/>
    <w:basedOn w:val="68"/>
    <w:link w:val="34"/>
    <w:qFormat/>
    <w:uiPriority w:val="0"/>
    <w:rPr>
      <w:rFonts w:ascii="Arial" w:hAnsi="Arial" w:cs="Arial" w:eastAsiaTheme="minorEastAsia"/>
      <w:b/>
      <w:bCs/>
      <w:snapToGrid w:val="0"/>
      <w:color w:val="000000"/>
      <w:sz w:val="21"/>
      <w:szCs w:val="21"/>
    </w:rPr>
  </w:style>
  <w:style w:type="character" w:customStyle="1" w:styleId="70">
    <w:name w:val="标题 1 字符"/>
    <w:basedOn w:val="38"/>
    <w:link w:val="3"/>
    <w:qFormat/>
    <w:uiPriority w:val="0"/>
    <w:rPr>
      <w:rFonts w:ascii="Arial" w:hAnsi="Arial" w:cs="Arial" w:eastAsiaTheme="minorEastAsia"/>
      <w:b/>
      <w:bCs/>
      <w:snapToGrid w:val="0"/>
      <w:color w:val="000000"/>
      <w:kern w:val="44"/>
      <w:sz w:val="44"/>
      <w:szCs w:val="44"/>
    </w:rPr>
  </w:style>
  <w:style w:type="character" w:customStyle="1" w:styleId="71">
    <w:name w:val="标题 4 字符"/>
    <w:basedOn w:val="38"/>
    <w:link w:val="6"/>
    <w:qFormat/>
    <w:uiPriority w:val="0"/>
    <w:rPr>
      <w:rFonts w:ascii="宋体"/>
      <w:b/>
      <w:kern w:val="52"/>
      <w:sz w:val="27"/>
    </w:rPr>
  </w:style>
  <w:style w:type="character" w:customStyle="1" w:styleId="72">
    <w:name w:val="标题 5 字符"/>
    <w:basedOn w:val="38"/>
    <w:link w:val="7"/>
    <w:qFormat/>
    <w:uiPriority w:val="0"/>
    <w:rPr>
      <w:rFonts w:ascii="宋体"/>
      <w:kern w:val="52"/>
      <w:sz w:val="27"/>
    </w:rPr>
  </w:style>
  <w:style w:type="character" w:customStyle="1" w:styleId="73">
    <w:name w:val="标题 6 字符"/>
    <w:basedOn w:val="38"/>
    <w:link w:val="8"/>
    <w:qFormat/>
    <w:uiPriority w:val="9"/>
    <w:rPr>
      <w:rFonts w:ascii="宋体" w:hAnsi="Arial"/>
      <w:kern w:val="52"/>
      <w:sz w:val="27"/>
    </w:rPr>
  </w:style>
  <w:style w:type="character" w:customStyle="1" w:styleId="74">
    <w:name w:val="标题 7 字符"/>
    <w:basedOn w:val="38"/>
    <w:link w:val="9"/>
    <w:qFormat/>
    <w:uiPriority w:val="0"/>
    <w:rPr>
      <w:rFonts w:ascii="宋体"/>
      <w:kern w:val="52"/>
      <w:sz w:val="26"/>
    </w:rPr>
  </w:style>
  <w:style w:type="character" w:customStyle="1" w:styleId="75">
    <w:name w:val="标题 8 字符"/>
    <w:basedOn w:val="38"/>
    <w:link w:val="10"/>
    <w:qFormat/>
    <w:uiPriority w:val="0"/>
    <w:rPr>
      <w:rFonts w:ascii="Arial" w:hAnsi="Arial"/>
      <w:kern w:val="52"/>
      <w:sz w:val="26"/>
    </w:rPr>
  </w:style>
  <w:style w:type="character" w:customStyle="1" w:styleId="76">
    <w:name w:val="标题 9 字符"/>
    <w:basedOn w:val="38"/>
    <w:link w:val="11"/>
    <w:qFormat/>
    <w:uiPriority w:val="0"/>
    <w:rPr>
      <w:rFonts w:ascii="Arial" w:hAnsi="Arial"/>
      <w:kern w:val="52"/>
      <w:sz w:val="26"/>
    </w:rPr>
  </w:style>
  <w:style w:type="paragraph" w:customStyle="1" w:styleId="77">
    <w:name w:val="TOC 标题1"/>
    <w:basedOn w:val="3"/>
    <w:next w:val="1"/>
    <w:semiHidden/>
    <w:unhideWhenUsed/>
    <w:qFormat/>
    <w:uiPriority w:val="39"/>
    <w:pPr>
      <w:kinsoku/>
      <w:autoSpaceDE/>
      <w:autoSpaceDN/>
      <w:adjustRightInd/>
      <w:snapToGrid/>
      <w:spacing w:before="480" w:after="0" w:line="276" w:lineRule="auto"/>
      <w:textAlignment w:val="auto"/>
      <w:outlineLvl w:val="9"/>
    </w:pPr>
    <w:rPr>
      <w:rFonts w:asciiTheme="majorHAnsi" w:hAnsiTheme="majorHAnsi" w:eastAsiaTheme="majorEastAsia" w:cstheme="majorBidi"/>
      <w:snapToGrid/>
      <w:color w:val="376092" w:themeColor="accent1" w:themeShade="BF"/>
      <w:kern w:val="0"/>
      <w:sz w:val="28"/>
      <w:szCs w:val="28"/>
    </w:rPr>
  </w:style>
  <w:style w:type="character" w:customStyle="1" w:styleId="78">
    <w:name w:val="layui-layer-tabnow"/>
    <w:qFormat/>
    <w:uiPriority w:val="0"/>
    <w:rPr>
      <w:bdr w:val="single" w:color="CCCCCC" w:sz="6" w:space="0"/>
      <w:shd w:val="clear" w:color="auto" w:fill="FFFFFF"/>
    </w:rPr>
  </w:style>
  <w:style w:type="character" w:customStyle="1" w:styleId="79">
    <w:name w:val="ca-1"/>
    <w:basedOn w:val="38"/>
    <w:qFormat/>
    <w:uiPriority w:val="0"/>
  </w:style>
  <w:style w:type="character" w:customStyle="1" w:styleId="80">
    <w:name w:val="redfilenumber"/>
    <w:basedOn w:val="38"/>
    <w:qFormat/>
    <w:uiPriority w:val="0"/>
    <w:rPr>
      <w:color w:val="BA2636"/>
      <w:sz w:val="18"/>
      <w:szCs w:val="18"/>
    </w:rPr>
  </w:style>
  <w:style w:type="character" w:customStyle="1" w:styleId="81">
    <w:name w:val="*正文 Char"/>
    <w:link w:val="82"/>
    <w:qFormat/>
    <w:locked/>
    <w:uiPriority w:val="0"/>
    <w:rPr>
      <w:rFonts w:ascii="宋体" w:hAnsi="宋体"/>
      <w:sz w:val="22"/>
      <w:szCs w:val="24"/>
    </w:rPr>
  </w:style>
  <w:style w:type="paragraph" w:customStyle="1" w:styleId="82">
    <w:name w:val="*正文"/>
    <w:basedOn w:val="1"/>
    <w:link w:val="81"/>
    <w:qFormat/>
    <w:uiPriority w:val="0"/>
    <w:pPr>
      <w:widowControl w:val="0"/>
      <w:kinsoku/>
      <w:autoSpaceDE/>
      <w:autoSpaceDN/>
      <w:adjustRightInd/>
      <w:snapToGrid/>
      <w:spacing w:line="360" w:lineRule="auto"/>
      <w:ind w:firstLine="200" w:firstLineChars="200"/>
      <w:jc w:val="both"/>
      <w:textAlignment w:val="auto"/>
    </w:pPr>
    <w:rPr>
      <w:rFonts w:ascii="宋体" w:hAnsi="宋体" w:eastAsia="宋体" w:cs="Times New Roman"/>
      <w:snapToGrid/>
      <w:color w:val="auto"/>
      <w:sz w:val="22"/>
      <w:szCs w:val="24"/>
    </w:rPr>
  </w:style>
  <w:style w:type="character" w:customStyle="1" w:styleId="83">
    <w:name w:val="qxdate"/>
    <w:basedOn w:val="38"/>
    <w:qFormat/>
    <w:uiPriority w:val="0"/>
    <w:rPr>
      <w:color w:val="333333"/>
      <w:sz w:val="18"/>
      <w:szCs w:val="18"/>
    </w:rPr>
  </w:style>
  <w:style w:type="character" w:customStyle="1" w:styleId="84">
    <w:name w:val="列表段落 字符"/>
    <w:link w:val="67"/>
    <w:qFormat/>
    <w:locked/>
    <w:uiPriority w:val="34"/>
    <w:rPr>
      <w:rFonts w:ascii="Arial" w:hAnsi="Arial" w:cs="Arial" w:eastAsiaTheme="minorEastAsia"/>
      <w:snapToGrid w:val="0"/>
      <w:color w:val="000000"/>
      <w:sz w:val="21"/>
      <w:szCs w:val="21"/>
    </w:rPr>
  </w:style>
  <w:style w:type="character" w:customStyle="1" w:styleId="85">
    <w:name w:val="日期 字符"/>
    <w:link w:val="22"/>
    <w:qFormat/>
    <w:uiPriority w:val="0"/>
    <w:rPr>
      <w:szCs w:val="24"/>
    </w:rPr>
  </w:style>
  <w:style w:type="character" w:customStyle="1" w:styleId="86">
    <w:name w:val="标题 2 Char1"/>
    <w:qFormat/>
    <w:uiPriority w:val="0"/>
    <w:rPr>
      <w:rFonts w:ascii="Arial" w:hAnsi="Arial" w:eastAsia="黑体"/>
      <w:b/>
      <w:bCs/>
      <w:kern w:val="2"/>
      <w:sz w:val="32"/>
      <w:szCs w:val="32"/>
      <w:lang w:val="en-US" w:eastAsia="zh-CN" w:bidi="ar-SA"/>
    </w:rPr>
  </w:style>
  <w:style w:type="character" w:customStyle="1" w:styleId="87">
    <w:name w:val="gjfg"/>
    <w:basedOn w:val="38"/>
    <w:qFormat/>
    <w:uiPriority w:val="0"/>
  </w:style>
  <w:style w:type="character" w:customStyle="1" w:styleId="88">
    <w:name w:val="redfilefwwh"/>
    <w:basedOn w:val="38"/>
    <w:qFormat/>
    <w:uiPriority w:val="0"/>
    <w:rPr>
      <w:color w:val="BA2636"/>
      <w:sz w:val="18"/>
      <w:szCs w:val="18"/>
    </w:rPr>
  </w:style>
  <w:style w:type="character" w:customStyle="1" w:styleId="89">
    <w:name w:val="first-child"/>
    <w:basedOn w:val="38"/>
    <w:qFormat/>
    <w:uiPriority w:val="0"/>
  </w:style>
  <w:style w:type="character" w:customStyle="1" w:styleId="90">
    <w:name w:val="displayarti"/>
    <w:basedOn w:val="38"/>
    <w:qFormat/>
    <w:uiPriority w:val="0"/>
    <w:rPr>
      <w:color w:val="FFFFFF"/>
      <w:shd w:val="clear" w:color="auto" w:fill="A00000"/>
    </w:rPr>
  </w:style>
  <w:style w:type="character" w:customStyle="1" w:styleId="91">
    <w:name w:val="cfdate"/>
    <w:basedOn w:val="38"/>
    <w:qFormat/>
    <w:uiPriority w:val="0"/>
    <w:rPr>
      <w:color w:val="333333"/>
      <w:sz w:val="18"/>
      <w:szCs w:val="18"/>
    </w:rPr>
  </w:style>
  <w:style w:type="character" w:customStyle="1" w:styleId="92">
    <w:name w:val="正文文本缩进 字符"/>
    <w:basedOn w:val="38"/>
    <w:link w:val="15"/>
    <w:qFormat/>
    <w:uiPriority w:val="0"/>
    <w:rPr>
      <w:rFonts w:ascii="仿宋_GB2312" w:hAnsi="宋体" w:eastAsia="仿宋_GB2312"/>
      <w:kern w:val="2"/>
      <w:sz w:val="28"/>
      <w:szCs w:val="30"/>
    </w:rPr>
  </w:style>
  <w:style w:type="character" w:customStyle="1" w:styleId="93">
    <w:name w:val="纯文本 字符"/>
    <w:basedOn w:val="38"/>
    <w:link w:val="19"/>
    <w:qFormat/>
    <w:uiPriority w:val="0"/>
    <w:rPr>
      <w:rFonts w:ascii="宋体" w:hAnsi="Courier New"/>
      <w:kern w:val="2"/>
      <w:sz w:val="21"/>
      <w:szCs w:val="24"/>
    </w:rPr>
  </w:style>
  <w:style w:type="character" w:customStyle="1" w:styleId="94">
    <w:name w:val="正文文本缩进 2 字符"/>
    <w:basedOn w:val="38"/>
    <w:link w:val="23"/>
    <w:qFormat/>
    <w:uiPriority w:val="0"/>
    <w:rPr>
      <w:rFonts w:ascii="仿宋_GB2312" w:hAnsi="宋体" w:eastAsia="仿宋_GB2312"/>
      <w:kern w:val="2"/>
      <w:sz w:val="28"/>
      <w:szCs w:val="30"/>
    </w:rPr>
  </w:style>
  <w:style w:type="character" w:customStyle="1" w:styleId="95">
    <w:name w:val="日期 字符1"/>
    <w:basedOn w:val="38"/>
    <w:semiHidden/>
    <w:qFormat/>
    <w:uiPriority w:val="99"/>
    <w:rPr>
      <w:rFonts w:ascii="Arial" w:hAnsi="Arial" w:cs="Arial" w:eastAsiaTheme="minorEastAsia"/>
      <w:snapToGrid w:val="0"/>
      <w:color w:val="000000"/>
      <w:sz w:val="21"/>
      <w:szCs w:val="21"/>
    </w:rPr>
  </w:style>
  <w:style w:type="character" w:customStyle="1" w:styleId="96">
    <w:name w:val="日期 Char1"/>
    <w:basedOn w:val="38"/>
    <w:semiHidden/>
    <w:qFormat/>
    <w:uiPriority w:val="99"/>
    <w:rPr>
      <w:rFonts w:ascii="Arial" w:hAnsi="Arial" w:cs="Arial"/>
      <w:snapToGrid w:val="0"/>
      <w:color w:val="000000"/>
      <w:kern w:val="0"/>
      <w:szCs w:val="21"/>
    </w:rPr>
  </w:style>
  <w:style w:type="character" w:customStyle="1" w:styleId="97">
    <w:name w:val="HTML 预设格式 字符"/>
    <w:basedOn w:val="38"/>
    <w:link w:val="31"/>
    <w:qFormat/>
    <w:uiPriority w:val="99"/>
    <w:rPr>
      <w:rFonts w:ascii="宋体" w:hAnsi="宋体"/>
      <w:kern w:val="2"/>
      <w:sz w:val="21"/>
      <w:szCs w:val="24"/>
    </w:rPr>
  </w:style>
  <w:style w:type="character" w:customStyle="1" w:styleId="98">
    <w:name w:val="正文文本 字符"/>
    <w:basedOn w:val="38"/>
    <w:link w:val="14"/>
    <w:qFormat/>
    <w:uiPriority w:val="0"/>
    <w:rPr>
      <w:kern w:val="2"/>
      <w:sz w:val="21"/>
      <w:szCs w:val="24"/>
    </w:rPr>
  </w:style>
  <w:style w:type="character" w:customStyle="1" w:styleId="99">
    <w:name w:val="正文文本缩进 3 字符"/>
    <w:basedOn w:val="38"/>
    <w:link w:val="28"/>
    <w:qFormat/>
    <w:uiPriority w:val="0"/>
    <w:rPr>
      <w:kern w:val="2"/>
      <w:sz w:val="16"/>
      <w:szCs w:val="16"/>
    </w:rPr>
  </w:style>
  <w:style w:type="paragraph" w:customStyle="1" w:styleId="100">
    <w:name w:val="bottom"/>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101">
    <w:name w:val="列出段落1"/>
    <w:basedOn w:val="1"/>
    <w:qFormat/>
    <w:uiPriority w:val="0"/>
    <w:pPr>
      <w:widowControl w:val="0"/>
      <w:kinsoku/>
      <w:autoSpaceDE/>
      <w:autoSpaceDN/>
      <w:adjustRightInd/>
      <w:snapToGrid/>
      <w:ind w:firstLine="420"/>
      <w:jc w:val="both"/>
      <w:textAlignment w:val="auto"/>
    </w:pPr>
    <w:rPr>
      <w:rFonts w:ascii="Times New Roman" w:hAnsi="Times New Roman" w:eastAsia="宋体" w:cs="Times New Roman"/>
      <w:snapToGrid/>
      <w:color w:val="auto"/>
      <w:kern w:val="2"/>
      <w:szCs w:val="20"/>
    </w:rPr>
  </w:style>
  <w:style w:type="paragraph" w:customStyle="1" w:styleId="102">
    <w:name w:val="Char2"/>
    <w:basedOn w:val="1"/>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Cs w:val="20"/>
    </w:rPr>
  </w:style>
  <w:style w:type="paragraph" w:customStyle="1" w:styleId="103">
    <w:name w:val="Default"/>
    <w:qFormat/>
    <w:uiPriority w:val="99"/>
    <w:pPr>
      <w:widowControl w:val="0"/>
      <w:autoSpaceDE w:val="0"/>
      <w:autoSpaceDN w:val="0"/>
      <w:adjustRightInd w:val="0"/>
    </w:pPr>
    <w:rPr>
      <w:rFonts w:ascii="隶书" w:hAnsi="Times New Roman" w:eastAsia="隶书" w:cs="隶书"/>
      <w:color w:val="000000"/>
      <w:sz w:val="24"/>
      <w:szCs w:val="24"/>
      <w:lang w:val="en-US" w:eastAsia="zh-CN" w:bidi="ar-SA"/>
    </w:rPr>
  </w:style>
  <w:style w:type="paragraph" w:customStyle="1" w:styleId="104">
    <w:name w:val="Char"/>
    <w:basedOn w:val="1"/>
    <w:qFormat/>
    <w:uiPriority w:val="0"/>
    <w:pPr>
      <w:kinsoku/>
      <w:autoSpaceDE/>
      <w:autoSpaceDN/>
      <w:adjustRightInd/>
      <w:snapToGrid/>
      <w:spacing w:after="160" w:line="240" w:lineRule="exact"/>
      <w:textAlignment w:val="auto"/>
    </w:pPr>
    <w:rPr>
      <w:rFonts w:ascii="Verdana" w:hAnsi="Verdana" w:eastAsia="仿宋_GB2312" w:cs="Times New Roman"/>
      <w:snapToGrid/>
      <w:color w:val="auto"/>
      <w:sz w:val="24"/>
      <w:szCs w:val="20"/>
      <w:lang w:eastAsia="en-US"/>
    </w:rPr>
  </w:style>
  <w:style w:type="paragraph" w:customStyle="1" w:styleId="105">
    <w:name w:val="3 Char"/>
    <w:basedOn w:val="1"/>
    <w:qFormat/>
    <w:uiPriority w:val="0"/>
    <w:pPr>
      <w:kinsoku/>
      <w:autoSpaceDE/>
      <w:autoSpaceDN/>
      <w:adjustRightInd/>
      <w:snapToGrid/>
      <w:spacing w:line="400" w:lineRule="exact"/>
      <w:jc w:val="center"/>
      <w:textAlignment w:val="auto"/>
    </w:pPr>
    <w:rPr>
      <w:rFonts w:ascii="Verdana" w:hAnsi="Verdana" w:eastAsia="宋体" w:cs="Times New Roman"/>
      <w:snapToGrid/>
      <w:color w:val="auto"/>
      <w:szCs w:val="20"/>
      <w:lang w:eastAsia="en-US"/>
    </w:rPr>
  </w:style>
  <w:style w:type="paragraph" w:customStyle="1" w:styleId="106">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07">
    <w:name w:val="修订1"/>
    <w:hidden/>
    <w:semiHidden/>
    <w:qFormat/>
    <w:uiPriority w:val="99"/>
    <w:rPr>
      <w:rFonts w:ascii="Arial" w:hAnsi="Arial" w:cs="Arial" w:eastAsiaTheme="minorEastAsia"/>
      <w:snapToGrid w:val="0"/>
      <w:color w:val="000000"/>
      <w:sz w:val="21"/>
      <w:szCs w:val="21"/>
      <w:lang w:val="en-US" w:eastAsia="zh-CN" w:bidi="ar-SA"/>
    </w:rPr>
  </w:style>
  <w:style w:type="paragraph" w:customStyle="1" w:styleId="108">
    <w:name w:val="WPSOffice手动目录 1"/>
    <w:qFormat/>
    <w:uiPriority w:val="0"/>
    <w:rPr>
      <w:rFonts w:ascii="Times New Roman" w:hAnsi="Times New Roman" w:eastAsia="宋体" w:cs="Times New Roman"/>
      <w:lang w:val="en-US" w:eastAsia="zh-CN" w:bidi="ar-SA"/>
    </w:rPr>
  </w:style>
  <w:style w:type="paragraph" w:customStyle="1" w:styleId="109">
    <w:name w:val="Heading #3|1"/>
    <w:basedOn w:val="1"/>
    <w:qFormat/>
    <w:uiPriority w:val="0"/>
    <w:pPr>
      <w:widowControl w:val="0"/>
      <w:spacing w:after="540" w:line="587" w:lineRule="exact"/>
      <w:jc w:val="center"/>
      <w:outlineLvl w:val="2"/>
    </w:pPr>
    <w:rPr>
      <w:rFonts w:ascii="宋体" w:hAnsi="宋体" w:eastAsia="宋体" w:cs="宋体"/>
      <w:sz w:val="42"/>
      <w:szCs w:val="42"/>
      <w:lang w:val="zh-TW" w:eastAsia="zh-TW" w:bidi="zh-TW"/>
    </w:rPr>
  </w:style>
  <w:style w:type="paragraph" w:customStyle="1" w:styleId="110">
    <w:name w:val="Other|1"/>
    <w:basedOn w:val="1"/>
    <w:qFormat/>
    <w:uiPriority w:val="0"/>
    <w:pPr>
      <w:widowControl w:val="0"/>
      <w:spacing w:line="396" w:lineRule="auto"/>
      <w:ind w:firstLine="400"/>
    </w:pPr>
    <w:rPr>
      <w:rFonts w:ascii="宋体" w:hAnsi="宋体" w:eastAsia="宋体" w:cs="宋体"/>
      <w:sz w:val="30"/>
      <w:szCs w:val="30"/>
      <w:lang w:val="zh-TW" w:eastAsia="zh-TW" w:bidi="zh-TW"/>
    </w:rPr>
  </w:style>
  <w:style w:type="paragraph" w:customStyle="1" w:styleId="11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12">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113">
    <w:name w:val="font91"/>
    <w:basedOn w:val="38"/>
    <w:qFormat/>
    <w:uiPriority w:val="0"/>
    <w:rPr>
      <w:rFonts w:ascii="Arial" w:hAnsi="Arial" w:cs="Arial"/>
      <w:color w:val="000000"/>
      <w:sz w:val="20"/>
      <w:szCs w:val="20"/>
      <w:u w:val="none"/>
    </w:rPr>
  </w:style>
  <w:style w:type="character" w:customStyle="1" w:styleId="114">
    <w:name w:val="font101"/>
    <w:basedOn w:val="38"/>
    <w:qFormat/>
    <w:uiPriority w:val="0"/>
    <w:rPr>
      <w:rFonts w:ascii="Calibri" w:hAnsi="Calibri" w:cs="Calibri"/>
      <w:color w:val="000000"/>
      <w:sz w:val="20"/>
      <w:szCs w:val="20"/>
      <w:u w:val="none"/>
    </w:rPr>
  </w:style>
  <w:style w:type="paragraph" w:customStyle="1" w:styleId="115">
    <w:name w:val="Header or footer|2"/>
    <w:basedOn w:val="1"/>
    <w:qFormat/>
    <w:uiPriority w:val="0"/>
    <w:pPr>
      <w:widowControl w:val="0"/>
      <w:kinsoku/>
      <w:autoSpaceDE/>
      <w:autoSpaceDN/>
      <w:adjustRightInd/>
      <w:snapToGrid/>
      <w:jc w:val="both"/>
      <w:textAlignment w:val="auto"/>
    </w:pPr>
    <w:rPr>
      <w:rFonts w:ascii="Calibri" w:hAnsi="Calibri" w:eastAsia="宋体" w:cs="Times New Roman"/>
      <w:snapToGrid/>
      <w:color w:val="auto"/>
      <w:kern w:val="2"/>
      <w:sz w:val="20"/>
      <w:szCs w:val="20"/>
      <w:lang w:val="zh-TW" w:eastAsia="zh-TW" w:bidi="zh-TW"/>
    </w:rPr>
  </w:style>
  <w:style w:type="paragraph" w:customStyle="1" w:styleId="116">
    <w:name w:val="Body text|1"/>
    <w:basedOn w:val="1"/>
    <w:qFormat/>
    <w:uiPriority w:val="0"/>
    <w:pPr>
      <w:widowControl w:val="0"/>
      <w:kinsoku/>
      <w:autoSpaceDE/>
      <w:autoSpaceDN/>
      <w:adjustRightInd/>
      <w:snapToGrid/>
      <w:spacing w:line="403" w:lineRule="auto"/>
      <w:ind w:firstLine="400"/>
      <w:jc w:val="both"/>
      <w:textAlignment w:val="auto"/>
    </w:pPr>
    <w:rPr>
      <w:rFonts w:ascii="宋体" w:hAnsi="宋体" w:eastAsia="宋体" w:cs="宋体"/>
      <w:snapToGrid/>
      <w:color w:val="auto"/>
      <w:kern w:val="2"/>
      <w:sz w:val="28"/>
      <w:szCs w:val="28"/>
      <w:lang w:val="zh-TW" w:eastAsia="zh-TW" w:bidi="zh-TW"/>
    </w:rPr>
  </w:style>
  <w:style w:type="character" w:customStyle="1" w:styleId="117">
    <w:name w:val="标题 字符"/>
    <w:basedOn w:val="38"/>
    <w:link w:val="33"/>
    <w:qFormat/>
    <w:uiPriority w:val="99"/>
    <w:rPr>
      <w:rFonts w:ascii="Cambria" w:hAnsi="Cambria" w:eastAsia="黑体"/>
      <w:b/>
      <w:bCs/>
      <w:kern w:val="2"/>
      <w:sz w:val="32"/>
      <w:szCs w:val="32"/>
    </w:rPr>
  </w:style>
  <w:style w:type="character" w:customStyle="1" w:styleId="118">
    <w:name w:val="cf01"/>
    <w:qFormat/>
    <w:uiPriority w:val="0"/>
    <w:rPr>
      <w:rFonts w:hint="eastAsia" w:ascii="Microsoft YaHei UI" w:hAnsi="Microsoft YaHei UI" w:eastAsia="Microsoft YaHei UI"/>
      <w:sz w:val="18"/>
      <w:szCs w:val="18"/>
    </w:rPr>
  </w:style>
  <w:style w:type="paragraph" w:customStyle="1" w:styleId="119">
    <w:name w:val="p"/>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120">
    <w:name w:val="newstyle19"/>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121">
    <w:name w:val="ariafocus"/>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character" w:customStyle="1" w:styleId="122">
    <w:name w:val="正文文本首行缩进 2 字符"/>
    <w:link w:val="35"/>
    <w:qFormat/>
    <w:uiPriority w:val="0"/>
    <w:rPr>
      <w:rFonts w:eastAsia="仿宋_GB2312"/>
      <w:sz w:val="28"/>
      <w:szCs w:val="30"/>
    </w:rPr>
  </w:style>
  <w:style w:type="character" w:customStyle="1" w:styleId="123">
    <w:name w:val="Unresolved Mention"/>
    <w:basedOn w:val="38"/>
    <w:semiHidden/>
    <w:unhideWhenUsed/>
    <w:qFormat/>
    <w:uiPriority w:val="99"/>
    <w:rPr>
      <w:color w:val="605E5C"/>
      <w:shd w:val="clear" w:color="auto" w:fill="E1DFDD"/>
    </w:rPr>
  </w:style>
  <w:style w:type="paragraph" w:customStyle="1" w:styleId="124">
    <w:name w:val="task-list-item"/>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09C9B-1E90-4F7B-B6C2-5BC4625F9970}">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3292</Words>
  <Characters>18769</Characters>
  <Lines>156</Lines>
  <Paragraphs>44</Paragraphs>
  <TotalTime>0</TotalTime>
  <ScaleCrop>false</ScaleCrop>
  <LinksUpToDate>false</LinksUpToDate>
  <CharactersWithSpaces>22017</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2024-08-21T06:55:00Z</dcterms:created>
  <dc:creator>孙孙</dc:creator>
  <cp:lastModifiedBy>办公室/孙德婧</cp:lastModifiedBy>
  <cp:lastPrinted>2024-12-30T04:56:00Z</cp:lastPrinted>
  <dcterms:modified xsi:type="dcterms:W3CDTF">2025-08-21T08:18:26Z</dcterms:modified>
  <cp:revision>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ICV">
    <vt:lpwstr>CE1ECBA240FB494999C499B09F1CDDE4_13</vt:lpwstr>
  </property>
</Properties>
</file>