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人才专项经费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人才专项经费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根据《关于印发&lt;关于鼓励引进高层次人才的八条措施&gt;实施细则的通知》(榕人社综〔2018〕113号）精神，高层次人才各项奖励经费按现行财政体制分级承担，五城区企业由市本级和区财政各承担50%。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91.37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63.74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6.37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