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2023年度工伤核实专项经费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榕财社（指）【2023】66号   30399其他对个人和家庭补助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做好全市工伤认定工作，积极维护受伤职工、企业合法权益，维护工伤保险基金安全有序运行。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1)工伤认定受理案件数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 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