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2023年省级创业支持资金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榕财社（指）【2023】126号    30399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支持县市区落实促进就业创业政策，切实做好就业创业工作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80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良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5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1)工作开展率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1)资金拨付（下达、结算）及时率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1)工作完成率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1)受益对象满意度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 xml:space="preserve"> 有些资金需要到年底才能兑现，造成资金使用率较低，达不到绩效进度要求。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 xml:space="preserve"> 加快业务的办理进度，尽快完成项目审核，及时兑现资金，保证资金使用进度符合绩效管理要求。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