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2023年度第二批省级人才专项资金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榕财社（指）【2023】160号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建省工科类青年专业人才企业聘用补助，根据《关于省级人才重点项目有关事项补充通知》（闽委组通【2019】8号）规定2019年后入选的工科人才，需“人才所在单位同级财政承担50%"企业聘用补助部分，需我市现行财政体制分级承担，具体是：企业所得税地方分成部分为五城区企业，由福州市本级和区财政各承担50%奖励经费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96.42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94.22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9.42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1)福建省引进高层次人才及工科人才数量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