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2024年第一批省级人才市级配套补助资金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榕财社（指）【2024】63号  30399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1.4名福建省引进ABC类高层次人才安家补助：2.157名福建省工科类青年专业人才企业聘用补助，根据《关于省级人才重点项目有关事项补充通知》（闽委组通【2019】8号）规定2019年后入选的工科人才，需“人才所在单位同级财政承担50%"企业聘用补助部分，需我市现行财政体制分级承担，具体是：企业所得税地方分成部分为五城区企业，由福州市本级和区财政各承担50%奖励经费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1)福建省引进高层次人才及工科人才数量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1)补助标准执行准确率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1)福建省引进高层次人才及工科人才数量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1)补助对象满意度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有些资金需要到年底才能兑现，造成资金使用率较低，达不到绩效进度要求。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加快业务的办理进度，尽快完成项目审核，及时兑现资金，保证资金使用进度符合绩效管理要求。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