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应急小分队报酬经费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信访局应急小分队报酬经费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维护好机关大院正常的办公秩序和信访秩序，快速有效地处置群体性、突发性事件。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93.54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1)接待信访人员次数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1462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1)会议保障次数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1)项目执行时间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年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97.11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绩效体系建设不完善，自评需各单位根据自身单位情况等建立自评体系，再组织自评。单位自评仅停留在关注预算的执行率、预算调整率等预算执行指标上，对资金使用的建设效益不能全面反映预算资金的使用成效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应该加强培训和宣传，正确认识预算绩效的管理理念。建立健全预算绩效管理机制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