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接访专项经费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信访局接访专项经费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确保我局接访工作所需的开支。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91.69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60.25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6.69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1)受理信访件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1462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1)信访系统群来信来访件及时办结率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98.22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1)开门接访率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97.11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绩效体系建设不完善，自评需各单位根据自身单位情况等建立自评体系，再组织自评。单位自评仅停留在关注预算的执行率、预算调整率等预算执行指标上，对资金使用的建设效益不能全面反映预算资金的使用成效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应该加强培训和宣传，正确认识预算绩效的管理理念。建立健全预算绩效管理机制。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