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*信访应急专项经费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*信访应急专项经费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我局本地及赴京保障重要会议周边信访工作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1)会议（活动）参与单位数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1)会议保障次数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1)保障业务工作正常开展率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97.11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绩效体系建设不完善，自评需各单位根据自身单位情况等建立自评体系，再组织自评。单位自评仅停留在关注预算的执行率、预算调整率等预算执行指标上，对资金使用的建设效益不能全面反映预算资金的使用成效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应该加强培训和宣传，正确认识预算绩效的管理理念。建立健全预算绩效管理机制。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