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区解决重点疑难信访问题专项资金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信访局区解决重点疑难信访问题专项资金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解决重点疑难信访问题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2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81.4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1)解决重点疑难信访问题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1)信访人息访息诉件数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绩效体系建设不完善，自评需各单位根据自身单位情况等建立自评体系，再组织自评。单位自评仅停留在关注预算的执行率、预算调整率等预算执行指标上，对资金使用的建设效益不能全面反映预算资金的使用成效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应该加强培训和宣传，正确认识预算绩效的管理理念。建立健全预算绩效管理机制。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