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△文明建设活动经费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根据省级文明城区测评要求，文明建设活动经费需按照辖区常住人口≥1元/人投入。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进一步加强全区群众性精神文明建设工作，提高城区文明品质。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82.9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17.4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2.9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1)开展活动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1)宣传资料数量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本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1)形成工作总结并上报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1)接到投诉次数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本单位2024年度文明建设活动项目资金支出较少，年度资金使用率较低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本单位2024年度文明建设活动项目资金支出较少，年度资金使用率较低，今后加强财政资金支出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