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△未成年人建设经费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根据全省文明城区测评体系要求，未成年人思想道德建设经费需按照辖区常住人口数≥0.2元/人投入。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进一步加强全区未成年人思想道德建设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81.07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6.44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1.07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1)开展活动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1)各项工作动转率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1)接到投诉次数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由于财政困难，本单位2024年度未成年人建设活动项目经费资金使用率较低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由于财政困难，本单位2024年度未成年人建设活动项目经费资金使用率较低，今后加强财政资金支出。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