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141部门整体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一般性支出情况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1、一般性支出情况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1)“三公”经费控制率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2)“三公”经费违规使用次数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3)会议费、差旅费超标准使用次数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2)工程达标率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3)组织招标次数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1)购置验收通过率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2)工程竣工验收报告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1)固定资产利用率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2)“三公经费”控制率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3)在职人员控制率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2)受益地区数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(五)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2)职工满意度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