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餐饮食品安全“互联网+明厨亮灶”示范单位补助经费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餐饮食品安全“互联网+明厨亮灶”示范单位补助经费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餐饮食品安全“互联网+明厨亮灶”示范单位补助经费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1)食品安全社会共治示范创建工作投入成本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％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1)部署开展餐饮服“互联网+明厨亮灶”示范单位创建家数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无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1)街（区）食品经营单位实施食品安全风险分级管理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1)无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无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1)无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无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1)重大食品安全事故较上年度增长量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无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1)民众对当地食品安全示范创建工作的满意度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％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财政资金不足，无法按时支付。财政资金不足，无法按时支付。财政资金不足，无法按时支付。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财政资金不足，无法按时支付。财政资金不足，无法按时支付。财政资金不足，无法按时支付。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