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区级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2024年知识产权发展保护专项资金</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通过合理有效地使用该项资金，促进知识产权事业发展，提升知识产权创造、运用、保护、管理和服务能力</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通过合理有效地使用该项资金，促进知识产权事业发展，提升知识产权创造、运用、保护、管理和服务能力</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75</w:t>
      </w:r>
      <w:r>
        <w:rPr>
          <w:rFonts w:ascii="仿宋_GB2312" w:hAnsi="仿宋_GB2312" w:cs="仿宋_GB2312" w:eastAsia="仿宋_GB2312"/>
          <w:sz w:val="32"/>
        </w:rPr>
        <w:t>分，等级为</w:t>
      </w:r>
      <w:r>
        <w:rPr>
          <w:rFonts w:ascii="仿宋_GB2312" w:hAnsi="仿宋_GB2312" w:cs="仿宋_GB2312" w:eastAsia="仿宋_GB2312"/>
          <w:sz w:val="32"/>
        </w:rPr>
        <w:t>中</w:t>
      </w:r>
      <w:r>
        <w:rPr>
          <w:rFonts w:ascii="仿宋_GB2312" w:hAnsi="仿宋_GB2312" w:cs="仿宋_GB2312" w:eastAsia="仿宋_GB2312"/>
          <w:sz w:val="32"/>
        </w:rPr>
        <w:t>，设置绩效目标</w:t>
      </w:r>
      <w:r>
        <w:rPr>
          <w:rFonts w:ascii="仿宋_GB2312" w:hAnsi="仿宋_GB2312" w:cs="仿宋_GB2312" w:eastAsia="仿宋_GB2312"/>
          <w:sz w:val="32"/>
        </w:rPr>
        <w:t>8</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1)奖补总额控制数</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30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1)专利转让许可次数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350</w:t>
      </w:r>
      <w:r>
        <w:rPr>
          <w:rFonts w:ascii="仿宋" w:hAnsi="仿宋" w:cs="仿宋" w:eastAsia="仿宋"/>
          <w:sz w:val="32"/>
        </w:rPr>
        <w:t>，完成值</w:t>
      </w:r>
      <w:r>
        <w:rPr>
          <w:rFonts w:ascii="仿宋" w:hAnsi="仿宋" w:cs="仿宋" w:eastAsia="仿宋"/>
          <w:sz w:val="32"/>
        </w:rPr>
        <w:t>964</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1)企业专利密集型产品备案</w:t>
      </w:r>
      <w:r>
        <w:rPr>
          <w:rFonts w:ascii="仿宋" w:hAnsi="仿宋" w:cs="仿宋" w:eastAsia="仿宋"/>
          <w:sz w:val="32"/>
        </w:rPr>
        <w:t>(</w:t>
      </w:r>
      <w:r>
        <w:rPr>
          <w:rFonts w:ascii="仿宋" w:hAnsi="仿宋" w:cs="仿宋" w:eastAsia="仿宋"/>
          <w:sz w:val="32"/>
        </w:rPr>
        <w:t>件</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162</w:t>
      </w:r>
      <w:r>
        <w:rPr>
          <w:rFonts w:ascii="仿宋" w:hAnsi="仿宋" w:cs="仿宋" w:eastAsia="仿宋"/>
          <w:sz w:val="32"/>
        </w:rPr>
        <w:t>，分值</w:t>
      </w:r>
      <w:r>
        <w:rPr>
          <w:rFonts w:ascii="仿宋" w:hAnsi="仿宋" w:cs="仿宋" w:eastAsia="仿宋"/>
          <w:sz w:val="32"/>
        </w:rPr>
        <w:t>25</w:t>
      </w:r>
      <w:r>
        <w:rPr>
          <w:rFonts w:ascii="仿宋" w:hAnsi="仿宋" w:cs="仿宋" w:eastAsia="仿宋"/>
          <w:sz w:val="32"/>
        </w:rPr>
        <w:t>，得分</w:t>
      </w:r>
      <w:r>
        <w:rPr>
          <w:rFonts w:ascii="仿宋" w:hAnsi="仿宋" w:cs="仿宋" w:eastAsia="仿宋"/>
          <w:sz w:val="32"/>
        </w:rPr>
        <w:t>25</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1)资金拨付及时率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5</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1)企业专利权质押贷款金额</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3000</w:t>
      </w:r>
      <w:r>
        <w:rPr>
          <w:rFonts w:ascii="仿宋" w:hAnsi="仿宋" w:cs="仿宋" w:eastAsia="仿宋"/>
          <w:sz w:val="32"/>
        </w:rPr>
        <w:t>，完成值</w:t>
      </w:r>
      <w:r>
        <w:rPr>
          <w:rFonts w:ascii="仿宋" w:hAnsi="仿宋" w:cs="仿宋" w:eastAsia="仿宋"/>
          <w:sz w:val="32"/>
        </w:rPr>
        <w:t>4203</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1)辖区2年内发生导致严重后果造成恶劣影响的知识产权相关重大违法侵权数量</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2)辖区内知识产权宣传服务点建设布置的数量</w:t>
      </w:r>
      <w:r>
        <w:rPr>
          <w:rFonts w:ascii="仿宋" w:hAnsi="仿宋" w:cs="仿宋" w:eastAsia="仿宋"/>
          <w:sz w:val="32"/>
        </w:rPr>
        <w:t>(</w:t>
      </w:r>
      <w:r>
        <w:rPr>
          <w:rFonts w:ascii="仿宋" w:hAnsi="仿宋" w:cs="仿宋" w:eastAsia="仿宋"/>
          <w:sz w:val="32"/>
        </w:rPr>
        <w:t>个</w:t>
      </w:r>
      <w:r>
        <w:rPr>
          <w:rFonts w:ascii="仿宋" w:hAnsi="仿宋" w:cs="仿宋" w:eastAsia="仿宋"/>
          <w:sz w:val="32"/>
        </w:rPr>
        <w:t>)，目标值</w:t>
      </w:r>
      <w:r>
        <w:rPr>
          <w:rFonts w:ascii="仿宋" w:hAnsi="仿宋" w:cs="仿宋" w:eastAsia="仿宋"/>
          <w:sz w:val="32"/>
        </w:rPr>
        <w:t>1</w:t>
      </w:r>
      <w:r>
        <w:rPr>
          <w:rFonts w:ascii="仿宋" w:hAnsi="仿宋" w:cs="仿宋" w:eastAsia="仿宋"/>
          <w:sz w:val="32"/>
        </w:rPr>
        <w:t>，完成值</w:t>
      </w:r>
      <w:r>
        <w:rPr>
          <w:rFonts w:ascii="仿宋" w:hAnsi="仿宋" w:cs="仿宋" w:eastAsia="仿宋"/>
          <w:sz w:val="32"/>
        </w:rPr>
        <w:t>1</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1)服务对象满意度率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95%</w:t>
      </w:r>
      <w:r>
        <w:rPr>
          <w:rFonts w:ascii="仿宋" w:hAnsi="仿宋" w:cs="仿宋" w:eastAsia="仿宋"/>
          <w:sz w:val="32"/>
        </w:rPr>
        <w:t>，完成值</w:t>
      </w:r>
      <w:r>
        <w:rPr>
          <w:rFonts w:ascii="仿宋" w:hAnsi="仿宋" w:cs="仿宋" w:eastAsia="仿宋"/>
          <w:sz w:val="32"/>
        </w:rPr>
        <w:t>99</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财政资金不足，无法及时支付。财政资金不足，无法及时支付。财政资金不足，无法及时支付。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财政资金不足，无法及时支付。财政资金不足，无法及时支付。财政资金不足，无法及时支付。</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