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福州市标准化专项资金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通过实施标准化战略，推进质量强市建设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通过实施标准化战略，推进质量强市建设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1)对主导（参与）制定福州市地方标准或国家标准的补助标准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27.5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1)补助单位数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1)补助对象与依据文件吻合度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百分数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1)申报通知发布时限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月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1)补助研制国家标准或地方标准的数量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项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1)受补助单位满意度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百分数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财政资金不足无法及时支付。财政资金不足无法及时支付。财政资金不足无法及时支付。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财政资金不足无法及时支付。财政资金不足无法及时支付。财政资金不足无法及时支付。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