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2023年第二季度失能（重度残疾）老年人实体上门服务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2023年第二季度失能（重度残疾）老年人实体上门服务（政府预算经济分类：50205 委托业务费；部门预算经济分类：30227 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