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2023年第二批民政事业类省级补助专项经费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2023年第二批民政事业类省级补助专项经费（政府预算经济分类：50205 委托业务费；部门预算经济分类：30227 委托业务费）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基本完成2024年绩效目标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90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1)劳务派遣人数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1)慰问覆盖率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1)资金解缴及时性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40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1)年度一般公共预算地税收入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3206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1)公众安全感指数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98.17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