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2023年度编外人员考核奖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2023年度编外人员考核奖（30199其他工资福利支出；50199其他工资福利支出）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绩效目标编制数量较少，未充分体现该项工作内容，项目支出未细化到具体项目，未正确认识预算绩效目标的意义。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 xml:space="preserve"> 根据工作开展情况，需要更加细致的编制绩效考核目标，科学、合理地制定预算编制方案，在制定预算项目时，应当全面拿握预算单位总体情况，准确测算各项经费标准及总额。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