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pStyle w:val="28"/>
        <w:widowControl/>
        <w:spacing w:before="100" w:after="100"/>
        <w:ind w:left="0" w:right="0" w:firstLine="2520"/>
        <w:rPr>
          <w:rFonts w:ascii="Times New Roman" w:hAnsi="Times New Roman" w:eastAsia="Times New Roman" w:cs="Times New Roman"/>
          <w:kern w:val="0"/>
          <w:sz w:val="24"/>
        </w:rPr>
      </w:pPr>
      <w:bookmarkStart w:id="0" w:name="a000"/>
      <w:r>
        <w:rPr>
          <w:rFonts w:ascii="黑体" w:hAnsi="黑体" w:eastAsia="黑体" w:cs="黑体"/>
          <w:spacing w:val="0"/>
          <w:kern w:val="0"/>
          <w:sz w:val="84"/>
          <w:szCs w:val="84"/>
        </w:rPr>
        <w:t> </w:t>
      </w:r>
    </w:p>
    <w:p>
      <w:pPr>
        <w:pStyle w:val="28"/>
        <w:widowControl/>
        <w:spacing w:before="100" w:after="100"/>
        <w:ind w:left="0" w:right="0" w:firstLine="2520"/>
        <w:rPr>
          <w:rFonts w:ascii="Times New Roman" w:hAnsi="Times New Roman" w:eastAsia="Times New Roman" w:cs="Times New Roman"/>
          <w:kern w:val="0"/>
          <w:sz w:val="24"/>
        </w:rPr>
      </w:pPr>
      <w:r>
        <w:rPr>
          <w:rFonts w:ascii="黑体" w:hAnsi="黑体" w:eastAsia="黑体" w:cs="黑体"/>
          <w:spacing w:val="0"/>
          <w:kern w:val="0"/>
          <w:sz w:val="84"/>
          <w:szCs w:val="84"/>
        </w:rPr>
        <w:t> </w:t>
      </w:r>
    </w:p>
    <w:p>
      <w:pPr>
        <w:pStyle w:val="28"/>
        <w:widowControl/>
        <w:spacing w:before="100" w:after="100"/>
        <w:ind w:right="0"/>
        <w:jc w:val="center"/>
        <w:rPr>
          <w:rFonts w:ascii="Times New Roman" w:hAnsi="Times New Roman" w:eastAsia="Times New Roman" w:cs="Times New Roman"/>
          <w:kern w:val="0"/>
          <w:sz w:val="24"/>
        </w:rPr>
      </w:pPr>
      <w:r>
        <w:rPr>
          <w:rFonts w:ascii="黑体" w:hAnsi="黑体" w:eastAsia="黑体" w:cs="黑体"/>
          <w:spacing w:val="0"/>
          <w:kern w:val="0"/>
          <w:sz w:val="84"/>
          <w:szCs w:val="84"/>
        </w:rPr>
        <w:t>2024年度</w:t>
      </w:r>
    </w:p>
    <w:p>
      <w:pPr>
        <w:pStyle w:val="28"/>
        <w:widowControl/>
        <w:spacing w:before="100" w:after="100"/>
        <w:ind w:left="0" w:right="0" w:firstLine="0"/>
        <w:jc w:val="center"/>
        <w:rPr>
          <w:rFonts w:ascii="Times New Roman" w:hAnsi="Times New Roman" w:eastAsia="Times New Roman" w:cs="Times New Roman"/>
          <w:kern w:val="0"/>
          <w:sz w:val="24"/>
        </w:rPr>
      </w:pPr>
      <w:r>
        <w:rPr>
          <w:rFonts w:hint="eastAsia" w:ascii="黑体" w:hAnsi="黑体" w:eastAsia="黑体" w:cs="黑体"/>
          <w:spacing w:val="0"/>
          <w:kern w:val="0"/>
          <w:sz w:val="84"/>
          <w:szCs w:val="84"/>
        </w:rPr>
        <w:t>福州市仓山区财政局</w:t>
      </w:r>
      <w:r>
        <w:rPr>
          <w:rFonts w:ascii="黑体" w:hAnsi="黑体" w:eastAsia="黑体" w:cs="黑体"/>
          <w:spacing w:val="0"/>
          <w:kern w:val="0"/>
          <w:sz w:val="84"/>
          <w:szCs w:val="84"/>
        </w:rPr>
        <w:t>（</w:t>
      </w:r>
      <w:r>
        <w:rPr>
          <w:rFonts w:hint="eastAsia" w:ascii="黑体" w:hAnsi="黑体" w:eastAsia="黑体" w:cs="黑体"/>
          <w:spacing w:val="0"/>
          <w:kern w:val="0"/>
          <w:sz w:val="84"/>
          <w:szCs w:val="84"/>
          <w:lang w:eastAsia="zh-CN"/>
        </w:rPr>
        <w:t>汇总</w:t>
      </w:r>
      <w:r>
        <w:rPr>
          <w:rFonts w:ascii="黑体" w:hAnsi="黑体" w:eastAsia="黑体" w:cs="黑体"/>
          <w:spacing w:val="0"/>
          <w:kern w:val="0"/>
          <w:sz w:val="84"/>
          <w:szCs w:val="84"/>
        </w:rPr>
        <w:t>）</w:t>
      </w:r>
    </w:p>
    <w:p>
      <w:pPr>
        <w:pStyle w:val="28"/>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84"/>
          <w:szCs w:val="84"/>
        </w:rPr>
        <w:t>部门决算</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9"/>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44"/>
          <w:szCs w:val="44"/>
        </w:rPr>
        <w:t>目</w:t>
      </w:r>
      <w:r>
        <w:rPr>
          <w:rFonts w:ascii="宋体" w:hAnsi="宋体" w:cs="宋体"/>
          <w:spacing w:val="0"/>
          <w:kern w:val="0"/>
          <w:sz w:val="44"/>
          <w:szCs w:val="44"/>
        </w:rPr>
        <w:t>  </w:t>
      </w:r>
      <w:r>
        <w:rPr>
          <w:rFonts w:ascii="黑体" w:hAnsi="黑体" w:eastAsia="黑体" w:cs="黑体"/>
          <w:spacing w:val="0"/>
          <w:kern w:val="0"/>
          <w:sz w:val="44"/>
          <w:szCs w:val="44"/>
        </w:rPr>
        <w:t>录</w:t>
      </w:r>
    </w:p>
    <w:p>
      <w:pPr>
        <w:pStyle w:val="29"/>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pPr>
        <w:pStyle w:val="28"/>
        <w:widowControl/>
        <w:spacing w:before="100" w:after="100"/>
        <w:ind w:left="0" w:right="0" w:firstLine="0"/>
        <w:jc w:val="left"/>
        <w:rPr>
          <w:rFonts w:hint="eastAsia" w:ascii="Times New Roman" w:hAnsi="Times New Roman" w:eastAsia="仿宋" w:cs="Times New Roman"/>
          <w:kern w:val="0"/>
          <w:sz w:val="24"/>
          <w:lang w:val="en-US" w:eastAsia="zh-CN"/>
        </w:rPr>
      </w:pPr>
      <w:r>
        <w:rPr>
          <w:rStyle w:val="30"/>
          <w:rFonts w:ascii="仿宋" w:hAnsi="仿宋" w:eastAsia="仿宋" w:cs="仿宋"/>
          <w:b/>
          <w:bCs/>
          <w:spacing w:val="0"/>
          <w:kern w:val="0"/>
          <w:sz w:val="32"/>
          <w:szCs w:val="32"/>
        </w:rPr>
        <w:t>第一部分 部门概况…………………………………………</w:t>
      </w:r>
      <w:r>
        <w:rPr>
          <w:rStyle w:val="30"/>
          <w:rFonts w:hint="eastAsia" w:ascii="仿宋" w:hAnsi="仿宋" w:eastAsia="仿宋" w:cs="仿宋"/>
          <w:b/>
          <w:bCs/>
          <w:spacing w:val="0"/>
          <w:kern w:val="0"/>
          <w:sz w:val="32"/>
          <w:szCs w:val="32"/>
          <w:lang w:val="en-US" w:eastAsia="zh-CN"/>
        </w:rPr>
        <w:t>1</w:t>
      </w:r>
    </w:p>
    <w:p>
      <w:pPr>
        <w:pStyle w:val="28"/>
        <w:widowControl/>
        <w:spacing w:before="100" w:after="100"/>
        <w:ind w:left="0" w:right="0" w:firstLine="0"/>
        <w:jc w:val="left"/>
        <w:rPr>
          <w:rFonts w:hint="eastAsia" w:ascii="Times New Roman" w:hAnsi="Times New Roman" w:eastAsia="仿宋" w:cs="Times New Roman"/>
          <w:kern w:val="0"/>
          <w:sz w:val="24"/>
          <w:lang w:val="en-US" w:eastAsia="zh-CN"/>
        </w:rPr>
      </w:pPr>
      <w:r>
        <w:rPr>
          <w:rFonts w:ascii="仿宋" w:hAnsi="仿宋" w:eastAsia="仿宋" w:cs="仿宋"/>
          <w:spacing w:val="0"/>
          <w:kern w:val="0"/>
          <w:sz w:val="32"/>
          <w:szCs w:val="32"/>
        </w:rPr>
        <w:t>一、部门主要职责…………………………………………</w:t>
      </w:r>
      <w:r>
        <w:rPr>
          <w:rFonts w:hint="eastAsia" w:ascii="仿宋" w:hAnsi="仿宋" w:eastAsia="仿宋" w:cs="仿宋"/>
          <w:spacing w:val="0"/>
          <w:kern w:val="0"/>
          <w:sz w:val="32"/>
          <w:szCs w:val="32"/>
          <w:lang w:val="en-US" w:eastAsia="zh-CN"/>
        </w:rPr>
        <w:t>1</w:t>
      </w:r>
    </w:p>
    <w:p>
      <w:pPr>
        <w:pStyle w:val="28"/>
        <w:widowControl/>
        <w:spacing w:before="100" w:after="100"/>
        <w:ind w:left="0" w:right="0" w:firstLine="0"/>
        <w:jc w:val="left"/>
        <w:rPr>
          <w:rFonts w:hint="eastAsia" w:ascii="Times New Roman" w:hAnsi="Times New Roman" w:eastAsia="仿宋" w:cs="Times New Roman"/>
          <w:kern w:val="0"/>
          <w:sz w:val="24"/>
          <w:lang w:val="en-US" w:eastAsia="zh-CN"/>
        </w:rPr>
      </w:pPr>
      <w:r>
        <w:rPr>
          <w:rFonts w:ascii="仿宋" w:hAnsi="仿宋" w:eastAsia="仿宋" w:cs="仿宋"/>
          <w:spacing w:val="0"/>
          <w:kern w:val="0"/>
          <w:sz w:val="32"/>
          <w:szCs w:val="32"/>
        </w:rPr>
        <w:t>二、部门决算单位基本情况………………………………</w:t>
      </w:r>
      <w:r>
        <w:rPr>
          <w:rFonts w:hint="eastAsia" w:ascii="仿宋" w:hAnsi="仿宋" w:eastAsia="仿宋" w:cs="仿宋"/>
          <w:spacing w:val="0"/>
          <w:kern w:val="0"/>
          <w:sz w:val="32"/>
          <w:szCs w:val="32"/>
          <w:lang w:val="en-US" w:eastAsia="zh-CN"/>
        </w:rPr>
        <w:t>3</w:t>
      </w:r>
    </w:p>
    <w:p>
      <w:pPr>
        <w:pStyle w:val="28"/>
        <w:widowControl/>
        <w:spacing w:before="100" w:after="100"/>
        <w:ind w:left="0" w:right="0" w:firstLine="0"/>
        <w:jc w:val="left"/>
        <w:rPr>
          <w:rFonts w:hint="eastAsia" w:ascii="Times New Roman" w:hAnsi="Times New Roman" w:eastAsia="仿宋" w:cs="Times New Roman"/>
          <w:kern w:val="0"/>
          <w:sz w:val="24"/>
          <w:lang w:val="en-US" w:eastAsia="zh-CN"/>
        </w:rPr>
      </w:pPr>
      <w:r>
        <w:rPr>
          <w:rFonts w:ascii="仿宋" w:hAnsi="仿宋" w:eastAsia="仿宋" w:cs="仿宋"/>
          <w:spacing w:val="0"/>
          <w:kern w:val="0"/>
          <w:sz w:val="32"/>
          <w:szCs w:val="32"/>
        </w:rPr>
        <w:t>三、部门主要工作总结……………………………………</w:t>
      </w:r>
      <w:r>
        <w:rPr>
          <w:rFonts w:hint="eastAsia" w:ascii="仿宋" w:hAnsi="仿宋" w:eastAsia="仿宋" w:cs="仿宋"/>
          <w:spacing w:val="0"/>
          <w:kern w:val="0"/>
          <w:sz w:val="32"/>
          <w:szCs w:val="32"/>
          <w:lang w:val="en-US" w:eastAsia="zh-CN"/>
        </w:rPr>
        <w:t>3</w:t>
      </w:r>
    </w:p>
    <w:p>
      <w:pPr>
        <w:pStyle w:val="28"/>
        <w:widowControl/>
        <w:spacing w:before="100" w:after="100"/>
        <w:ind w:left="0" w:right="0" w:firstLine="0"/>
        <w:jc w:val="left"/>
        <w:rPr>
          <w:rFonts w:hint="eastAsia" w:ascii="Times New Roman" w:hAnsi="Times New Roman" w:eastAsia="仿宋" w:cs="Times New Roman"/>
          <w:kern w:val="0"/>
          <w:sz w:val="24"/>
          <w:lang w:eastAsia="zh-CN"/>
        </w:rPr>
      </w:pPr>
      <w:r>
        <w:rPr>
          <w:rStyle w:val="30"/>
          <w:rFonts w:ascii="仿宋" w:hAnsi="仿宋" w:eastAsia="仿宋" w:cs="仿宋"/>
          <w:b/>
          <w:bCs/>
          <w:spacing w:val="0"/>
          <w:kern w:val="0"/>
          <w:sz w:val="32"/>
          <w:szCs w:val="32"/>
        </w:rPr>
        <w:t>第二部分 2024年度部门决算表…………………………</w:t>
      </w:r>
      <w:r>
        <w:rPr>
          <w:rStyle w:val="30"/>
          <w:rFonts w:hint="eastAsia" w:ascii="仿宋" w:hAnsi="仿宋" w:eastAsia="仿宋" w:cs="仿宋"/>
          <w:b/>
          <w:bCs/>
          <w:spacing w:val="0"/>
          <w:kern w:val="0"/>
          <w:sz w:val="32"/>
          <w:szCs w:val="32"/>
          <w:lang w:val="en-US" w:eastAsia="zh-CN"/>
        </w:rPr>
        <w:t>9</w:t>
      </w:r>
    </w:p>
    <w:p>
      <w:pPr>
        <w:pStyle w:val="28"/>
        <w:widowControl/>
        <w:spacing w:before="100" w:after="100"/>
        <w:ind w:left="0" w:right="0" w:firstLine="0"/>
        <w:jc w:val="left"/>
        <w:rPr>
          <w:rFonts w:hint="eastAsia" w:ascii="Times New Roman" w:hAnsi="Times New Roman" w:eastAsia="仿宋" w:cs="Times New Roman"/>
          <w:kern w:val="0"/>
          <w:sz w:val="24"/>
          <w:lang w:val="en-US" w:eastAsia="zh-CN"/>
        </w:rPr>
      </w:pPr>
      <w:r>
        <w:rPr>
          <w:rFonts w:ascii="仿宋" w:hAnsi="仿宋" w:eastAsia="仿宋" w:cs="仿宋"/>
          <w:spacing w:val="0"/>
          <w:kern w:val="0"/>
          <w:sz w:val="32"/>
          <w:szCs w:val="32"/>
        </w:rPr>
        <w:t>一、收入支出决算总表……………………………………</w:t>
      </w:r>
      <w:r>
        <w:rPr>
          <w:rFonts w:hint="eastAsia" w:ascii="仿宋" w:hAnsi="仿宋" w:eastAsia="仿宋" w:cs="仿宋"/>
          <w:spacing w:val="0"/>
          <w:kern w:val="0"/>
          <w:sz w:val="32"/>
          <w:szCs w:val="32"/>
          <w:lang w:val="en-US" w:eastAsia="zh-CN"/>
        </w:rPr>
        <w:t>9</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二、收入决算表……………………………………………</w:t>
      </w:r>
      <w:r>
        <w:rPr>
          <w:rFonts w:hint="eastAsia" w:ascii="仿宋" w:hAnsi="仿宋" w:eastAsia="仿宋" w:cs="仿宋"/>
          <w:spacing w:val="0"/>
          <w:kern w:val="0"/>
          <w:sz w:val="32"/>
          <w:szCs w:val="32"/>
          <w:lang w:val="en-US" w:eastAsia="zh-CN"/>
        </w:rPr>
        <w:t>11</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三、支出决算表……………………………………………</w:t>
      </w:r>
      <w:r>
        <w:rPr>
          <w:rFonts w:hint="eastAsia" w:ascii="仿宋" w:hAnsi="仿宋" w:eastAsia="仿宋" w:cs="仿宋"/>
          <w:spacing w:val="0"/>
          <w:kern w:val="0"/>
          <w:sz w:val="32"/>
          <w:szCs w:val="32"/>
          <w:lang w:val="en-US" w:eastAsia="zh-CN"/>
        </w:rPr>
        <w:t>12</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四、财政拨款收入支出决算总表…………………………</w:t>
      </w:r>
      <w:r>
        <w:rPr>
          <w:rFonts w:hint="eastAsia" w:ascii="仿宋" w:hAnsi="仿宋" w:eastAsia="仿宋" w:cs="仿宋"/>
          <w:spacing w:val="0"/>
          <w:kern w:val="0"/>
          <w:sz w:val="32"/>
          <w:szCs w:val="32"/>
          <w:lang w:val="en-US" w:eastAsia="zh-CN"/>
        </w:rPr>
        <w:t>13</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五、一般公共预算财政拨款支出决算表…………………</w:t>
      </w:r>
      <w:r>
        <w:rPr>
          <w:rFonts w:hint="eastAsia" w:ascii="仿宋" w:hAnsi="仿宋" w:eastAsia="仿宋" w:cs="仿宋"/>
          <w:spacing w:val="0"/>
          <w:kern w:val="0"/>
          <w:sz w:val="32"/>
          <w:szCs w:val="32"/>
          <w:lang w:val="en-US" w:eastAsia="zh-CN"/>
        </w:rPr>
        <w:t>16</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六、</w:t>
      </w:r>
      <w:r>
        <w:rPr>
          <w:rFonts w:ascii="仿宋" w:hAnsi="仿宋" w:eastAsia="仿宋" w:cs="仿宋"/>
          <w:kern w:val="0"/>
          <w:sz w:val="32"/>
          <w:szCs w:val="32"/>
        </w:rPr>
        <w:t>一般公共预算财政拨款基本支出决算表</w:t>
      </w:r>
      <w:r>
        <w:rPr>
          <w:rFonts w:ascii="仿宋" w:hAnsi="仿宋" w:eastAsia="仿宋" w:cs="仿宋"/>
          <w:spacing w:val="0"/>
          <w:kern w:val="0"/>
          <w:sz w:val="32"/>
          <w:szCs w:val="32"/>
        </w:rPr>
        <w:t>……………</w:t>
      </w:r>
      <w:r>
        <w:rPr>
          <w:rFonts w:hint="eastAsia" w:ascii="仿宋" w:hAnsi="仿宋" w:eastAsia="仿宋" w:cs="仿宋"/>
          <w:spacing w:val="0"/>
          <w:kern w:val="0"/>
          <w:sz w:val="32"/>
          <w:szCs w:val="32"/>
          <w:lang w:val="en-US" w:eastAsia="zh-CN"/>
        </w:rPr>
        <w:t>17</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七、一般公共预算财政拨款“三公”经费支出决算表…</w:t>
      </w:r>
      <w:r>
        <w:rPr>
          <w:rFonts w:hint="eastAsia" w:ascii="仿宋" w:hAnsi="仿宋" w:eastAsia="仿宋" w:cs="仿宋"/>
          <w:spacing w:val="0"/>
          <w:kern w:val="0"/>
          <w:sz w:val="32"/>
          <w:szCs w:val="32"/>
          <w:lang w:val="en-US" w:eastAsia="zh-CN"/>
        </w:rPr>
        <w:t>20</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八、政府性基金预算财政拨款收入支出决算表…………</w:t>
      </w:r>
      <w:r>
        <w:rPr>
          <w:rFonts w:hint="eastAsia" w:ascii="仿宋" w:hAnsi="仿宋" w:eastAsia="仿宋" w:cs="仿宋"/>
          <w:spacing w:val="0"/>
          <w:kern w:val="0"/>
          <w:sz w:val="32"/>
          <w:szCs w:val="32"/>
          <w:lang w:val="en-US" w:eastAsia="zh-CN"/>
        </w:rPr>
        <w:t>22</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九、</w:t>
      </w:r>
      <w:r>
        <w:rPr>
          <w:rFonts w:ascii="仿宋" w:hAnsi="仿宋" w:eastAsia="仿宋" w:cs="仿宋"/>
          <w:kern w:val="0"/>
          <w:sz w:val="32"/>
          <w:szCs w:val="32"/>
        </w:rPr>
        <w:t>国有资本经营预算财政拨款支出决算表</w:t>
      </w:r>
      <w:r>
        <w:rPr>
          <w:rFonts w:ascii="仿宋" w:hAnsi="仿宋" w:eastAsia="仿宋" w:cs="仿宋"/>
          <w:spacing w:val="0"/>
          <w:kern w:val="0"/>
          <w:sz w:val="32"/>
          <w:szCs w:val="32"/>
        </w:rPr>
        <w:t>……………</w:t>
      </w:r>
      <w:r>
        <w:rPr>
          <w:rFonts w:hint="eastAsia" w:ascii="仿宋" w:hAnsi="仿宋" w:eastAsia="仿宋" w:cs="仿宋"/>
          <w:spacing w:val="0"/>
          <w:kern w:val="0"/>
          <w:sz w:val="32"/>
          <w:szCs w:val="32"/>
          <w:lang w:val="en-US" w:eastAsia="zh-CN"/>
        </w:rPr>
        <w:t>23</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Style w:val="30"/>
          <w:rFonts w:ascii="仿宋" w:hAnsi="仿宋" w:eastAsia="仿宋" w:cs="仿宋"/>
          <w:b/>
          <w:bCs/>
          <w:spacing w:val="0"/>
          <w:kern w:val="0"/>
          <w:sz w:val="32"/>
          <w:szCs w:val="32"/>
        </w:rPr>
        <w:t>第三部分 2024年度部门决算情况说明…………………</w:t>
      </w:r>
      <w:r>
        <w:rPr>
          <w:rStyle w:val="30"/>
          <w:rFonts w:hint="eastAsia" w:ascii="仿宋" w:hAnsi="仿宋" w:eastAsia="仿宋" w:cs="仿宋"/>
          <w:b/>
          <w:bCs/>
          <w:spacing w:val="0"/>
          <w:kern w:val="0"/>
          <w:sz w:val="32"/>
          <w:szCs w:val="32"/>
          <w:lang w:val="en-US" w:eastAsia="zh-CN"/>
        </w:rPr>
        <w:t>24</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一、收入支出决算总体情况说明…………………………</w:t>
      </w:r>
      <w:r>
        <w:rPr>
          <w:rFonts w:hint="eastAsia" w:ascii="仿宋" w:hAnsi="仿宋" w:eastAsia="仿宋" w:cs="仿宋"/>
          <w:spacing w:val="0"/>
          <w:kern w:val="0"/>
          <w:sz w:val="32"/>
          <w:szCs w:val="32"/>
          <w:lang w:val="en-US" w:eastAsia="zh-CN"/>
        </w:rPr>
        <w:t>24</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二、财政拨款收入支出决算总体情况说明………………</w:t>
      </w:r>
      <w:r>
        <w:rPr>
          <w:rFonts w:hint="eastAsia" w:ascii="仿宋" w:hAnsi="仿宋" w:eastAsia="仿宋" w:cs="仿宋"/>
          <w:spacing w:val="0"/>
          <w:kern w:val="0"/>
          <w:sz w:val="32"/>
          <w:szCs w:val="32"/>
          <w:lang w:val="en-US" w:eastAsia="zh-CN"/>
        </w:rPr>
        <w:t>25</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三、一般公共预算财政拨款支出决算情况说明…………</w:t>
      </w:r>
      <w:r>
        <w:rPr>
          <w:rFonts w:hint="eastAsia" w:ascii="仿宋" w:hAnsi="仿宋" w:eastAsia="仿宋" w:cs="仿宋"/>
          <w:spacing w:val="0"/>
          <w:kern w:val="0"/>
          <w:sz w:val="32"/>
          <w:szCs w:val="32"/>
          <w:lang w:val="en-US" w:eastAsia="zh-CN"/>
        </w:rPr>
        <w:t>25</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四、政府性基金预算财政拨款支出决算情况说明………</w:t>
      </w:r>
      <w:r>
        <w:rPr>
          <w:rFonts w:hint="eastAsia" w:ascii="仿宋" w:hAnsi="仿宋" w:eastAsia="仿宋" w:cs="仿宋"/>
          <w:spacing w:val="0"/>
          <w:kern w:val="0"/>
          <w:sz w:val="32"/>
          <w:szCs w:val="32"/>
          <w:lang w:val="en-US" w:eastAsia="zh-CN"/>
        </w:rPr>
        <w:t>26</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五、国有资本经营预算财政拨款支出决算情况说明……</w:t>
      </w:r>
      <w:r>
        <w:rPr>
          <w:rFonts w:hint="eastAsia" w:ascii="仿宋" w:hAnsi="仿宋" w:eastAsia="仿宋" w:cs="仿宋"/>
          <w:spacing w:val="0"/>
          <w:kern w:val="0"/>
          <w:sz w:val="32"/>
          <w:szCs w:val="32"/>
          <w:lang w:val="en-US" w:eastAsia="zh-CN"/>
        </w:rPr>
        <w:t>26</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六、一般公共预算财政拨款基本支出决算情况说明……</w:t>
      </w:r>
      <w:r>
        <w:rPr>
          <w:rFonts w:hint="eastAsia" w:ascii="仿宋" w:hAnsi="仿宋" w:eastAsia="仿宋" w:cs="仿宋"/>
          <w:spacing w:val="0"/>
          <w:kern w:val="0"/>
          <w:sz w:val="32"/>
          <w:szCs w:val="32"/>
          <w:lang w:val="en-US" w:eastAsia="zh-CN"/>
        </w:rPr>
        <w:t>27</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七、一般公共预算财政拨款“三公”经费支出决算情况说明……………………………………………………………</w:t>
      </w:r>
      <w:r>
        <w:rPr>
          <w:rFonts w:hint="eastAsia" w:ascii="仿宋" w:hAnsi="仿宋" w:eastAsia="仿宋" w:cs="仿宋"/>
          <w:spacing w:val="0"/>
          <w:kern w:val="0"/>
          <w:sz w:val="32"/>
          <w:szCs w:val="32"/>
          <w:lang w:val="en-US" w:eastAsia="zh-CN"/>
        </w:rPr>
        <w:t>27</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八、预算绩效情况说明……………………………………</w:t>
      </w:r>
      <w:r>
        <w:rPr>
          <w:rFonts w:hint="eastAsia" w:ascii="仿宋" w:hAnsi="仿宋" w:eastAsia="仿宋" w:cs="仿宋"/>
          <w:spacing w:val="0"/>
          <w:kern w:val="0"/>
          <w:sz w:val="32"/>
          <w:szCs w:val="32"/>
          <w:lang w:val="en-US" w:eastAsia="zh-CN"/>
        </w:rPr>
        <w:t>28</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Fonts w:ascii="仿宋" w:hAnsi="仿宋" w:eastAsia="仿宋" w:cs="仿宋"/>
          <w:spacing w:val="0"/>
          <w:kern w:val="0"/>
          <w:sz w:val="32"/>
          <w:szCs w:val="32"/>
        </w:rPr>
        <w:t>九、其他重要事项情况说明………………………………</w:t>
      </w:r>
      <w:r>
        <w:rPr>
          <w:rFonts w:hint="eastAsia" w:ascii="仿宋" w:hAnsi="仿宋" w:eastAsia="仿宋" w:cs="仿宋"/>
          <w:spacing w:val="0"/>
          <w:kern w:val="0"/>
          <w:sz w:val="32"/>
          <w:szCs w:val="32"/>
          <w:lang w:val="en-US" w:eastAsia="zh-CN"/>
        </w:rPr>
        <w:t>28</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Style w:val="30"/>
          <w:rFonts w:ascii="仿宋" w:hAnsi="仿宋" w:eastAsia="仿宋" w:cs="仿宋"/>
          <w:b/>
          <w:bCs/>
          <w:spacing w:val="0"/>
          <w:kern w:val="0"/>
          <w:sz w:val="32"/>
          <w:szCs w:val="32"/>
        </w:rPr>
        <w:t>第四部分 名词解释…………………………………………</w:t>
      </w:r>
      <w:r>
        <w:rPr>
          <w:rStyle w:val="30"/>
          <w:rFonts w:hint="eastAsia" w:ascii="仿宋" w:hAnsi="仿宋" w:eastAsia="仿宋" w:cs="仿宋"/>
          <w:b/>
          <w:bCs/>
          <w:spacing w:val="0"/>
          <w:kern w:val="0"/>
          <w:sz w:val="32"/>
          <w:szCs w:val="32"/>
          <w:lang w:val="en-US" w:eastAsia="zh-CN"/>
        </w:rPr>
        <w:t>30</w:t>
      </w:r>
    </w:p>
    <w:p>
      <w:pPr>
        <w:pStyle w:val="28"/>
        <w:widowControl/>
        <w:spacing w:before="100" w:after="100"/>
        <w:ind w:left="0" w:right="0" w:firstLine="0"/>
        <w:jc w:val="left"/>
        <w:rPr>
          <w:rFonts w:hint="default" w:ascii="Times New Roman" w:hAnsi="Times New Roman" w:eastAsia="仿宋" w:cs="Times New Roman"/>
          <w:kern w:val="0"/>
          <w:sz w:val="24"/>
          <w:lang w:val="en-US" w:eastAsia="zh-CN"/>
        </w:rPr>
      </w:pPr>
      <w:r>
        <w:rPr>
          <w:rStyle w:val="30"/>
          <w:rFonts w:ascii="仿宋" w:hAnsi="仿宋" w:eastAsia="仿宋" w:cs="仿宋"/>
          <w:b/>
          <w:bCs/>
          <w:spacing w:val="0"/>
          <w:kern w:val="0"/>
          <w:sz w:val="32"/>
          <w:szCs w:val="32"/>
        </w:rPr>
        <w:t>第五部分 附件………………………………………………</w:t>
      </w:r>
      <w:r>
        <w:rPr>
          <w:rStyle w:val="30"/>
          <w:rFonts w:hint="eastAsia" w:ascii="仿宋" w:hAnsi="仿宋" w:eastAsia="仿宋" w:cs="仿宋"/>
          <w:b/>
          <w:bCs/>
          <w:spacing w:val="0"/>
          <w:kern w:val="0"/>
          <w:sz w:val="32"/>
          <w:szCs w:val="32"/>
          <w:lang w:val="en-US" w:eastAsia="zh-CN"/>
        </w:rPr>
        <w:t>32</w:t>
      </w: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仿宋" w:hAnsi="仿宋" w:eastAsia="仿宋" w:cs="仿宋"/>
          <w:spacing w:val="0"/>
          <w:kern w:val="0"/>
          <w:sz w:val="32"/>
          <w:szCs w:val="32"/>
        </w:rPr>
        <w:sectPr>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start="1"/>
          <w:cols w:space="720" w:num="1"/>
        </w:sectPr>
      </w:pP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r>
        <w:rPr>
          <w:rFonts w:ascii="宋体" w:hAnsi="宋体" w:cs="宋体"/>
          <w:spacing w:val="0"/>
          <w:kern w:val="0"/>
          <w:sz w:val="36"/>
          <w:szCs w:val="36"/>
        </w:rPr>
        <w:t>  </w:t>
      </w:r>
    </w:p>
    <w:p>
      <w:pPr>
        <w:pStyle w:val="29"/>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第一部分</w:t>
      </w:r>
      <w:r>
        <w:rPr>
          <w:rFonts w:ascii="宋体" w:hAnsi="宋体" w:cs="宋体"/>
          <w:spacing w:val="0"/>
          <w:kern w:val="0"/>
          <w:sz w:val="56"/>
          <w:szCs w:val="56"/>
        </w:rPr>
        <w:t> </w:t>
      </w:r>
    </w:p>
    <w:p>
      <w:pPr>
        <w:pStyle w:val="29"/>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56"/>
          <w:szCs w:val="56"/>
        </w:rPr>
        <w:t>部门概况</w:t>
      </w:r>
    </w:p>
    <w:p>
      <w:pPr>
        <w:pStyle w:val="28"/>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一、部门主要职责</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（一）贯彻执行国家、省、市有关财税法律法规、规章和政策，拟订全区财政发展规划和改革方案并组织实施，完善鼓励公益事业发展的财政措施，研究拟订区对镇、街财政体制方案。</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制定并组织实施有关财政、财务、会计管理等规章制度，承担各项财政收支管理的责任，负责编制年度区级预决算草案并组织执行；受区政府委托，向区人民代表大会报告全区和区本级预算及其执行情况，向区人大常委会报告区本级决算，组织拟订经费开支标准、定额，负责审核批复部门（单位）的年度预决算。</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（三）负责政府非税收入管理，负责政府性基金管理，按规定管理行政事业性收费，管理财政票据。</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（四）制定和执行区级国库集中收付制度，管理区级财政专户，负责制定政府采购制度并监督管理。</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（五）负责制定全区行政事业单位国有资产管理规章制度，按规定管理行政事业单位国有资产。</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（六）制定并组织实施企业财务制度，参与拟订企业国有资产管理相关制度，按规定管理资产评估工作。</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七）负责办理和监督区级财政的经济发展支出、区级政府性投资项目的财政拨款，参与拟订区级建设投资的有关措施，制定全区基本建设财务制度，负责有关政策性补贴和专项储备资金财政工作，负责财政投融资建设目的工程概（预）算、结算竣工决算审核，负责全区农业综合开发资金管理工作。</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（八）会同有关部门管理区级财政社会保障和就业及医疗卫方面支出，会同有关方面拟订全区社会保障资金（基金）的财务管理制度，编制全区社会保障预决算草案。</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（九）贯彻执行政府国内债务管理的制度和政策，制定全区政府性债务管理制度和办法，防范财政风险；负责统一管理全区政府外债，制定基本管理制度。</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 （十）负责管理全区会计工作，监督和规范会计行为，贯彻落实国家统一的会计制度。</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（十一）监督检查财税法规、政策的执行情况，反映财政收支管理中的重大问题，提出加强规范财政管理的措施建议，加强对镇、街道财政指导监督。</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（十二）负责全区农村综合改革财政性资金管理。</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hint="eastAsia" w:ascii="仿宋" w:hAnsi="仿宋" w:eastAsia="仿宋" w:cs="仿宋"/>
          <w:spacing w:val="0"/>
          <w:kern w:val="0"/>
          <w:sz w:val="32"/>
          <w:szCs w:val="32"/>
        </w:rPr>
        <w:t>（十三）承办区委、区政府交办的其他事项</w:t>
      </w:r>
      <w:r>
        <w:rPr>
          <w:rFonts w:ascii="仿宋" w:hAnsi="仿宋" w:eastAsia="仿宋" w:cs="仿宋"/>
          <w:spacing w:val="0"/>
          <w:kern w:val="0"/>
          <w:sz w:val="32"/>
          <w:szCs w:val="32"/>
        </w:rPr>
        <w:t>。</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二、部门决算单位基本情况</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从决算单位构成看，部门包括</w:t>
      </w:r>
      <w:r>
        <w:rPr>
          <w:rFonts w:hint="eastAsia" w:ascii="仿宋" w:hAnsi="仿宋" w:eastAsia="仿宋" w:cs="仿宋"/>
          <w:spacing w:val="0"/>
          <w:kern w:val="0"/>
          <w:sz w:val="32"/>
          <w:szCs w:val="32"/>
          <w:lang w:val="en-US" w:eastAsia="zh-CN"/>
        </w:rPr>
        <w:t>6</w:t>
      </w:r>
      <w:r>
        <w:rPr>
          <w:rFonts w:ascii="仿宋" w:hAnsi="仿宋" w:eastAsia="仿宋" w:cs="仿宋"/>
          <w:spacing w:val="0"/>
          <w:kern w:val="0"/>
          <w:sz w:val="32"/>
          <w:szCs w:val="32"/>
        </w:rPr>
        <w:t>个机关行政处（科、股）室及</w:t>
      </w:r>
      <w:r>
        <w:rPr>
          <w:rFonts w:hint="eastAsia" w:ascii="仿宋" w:hAnsi="仿宋" w:eastAsia="仿宋" w:cs="仿宋"/>
          <w:spacing w:val="0"/>
          <w:kern w:val="0"/>
          <w:sz w:val="32"/>
          <w:szCs w:val="32"/>
          <w:lang w:val="en-US" w:eastAsia="zh-CN"/>
        </w:rPr>
        <w:t>2</w:t>
      </w:r>
      <w:r>
        <w:rPr>
          <w:rFonts w:ascii="仿宋" w:hAnsi="仿宋" w:eastAsia="仿宋" w:cs="仿宋"/>
          <w:spacing w:val="0"/>
          <w:kern w:val="0"/>
          <w:sz w:val="32"/>
          <w:szCs w:val="32"/>
        </w:rPr>
        <w:t>个下属单位，其中：列入</w:t>
      </w:r>
      <w:r>
        <w:rPr>
          <w:rFonts w:hint="eastAsia" w:ascii="仿宋" w:hAnsi="仿宋" w:eastAsia="仿宋" w:cs="仿宋"/>
          <w:spacing w:val="0"/>
          <w:kern w:val="0"/>
          <w:sz w:val="32"/>
          <w:szCs w:val="32"/>
          <w:lang w:val="en-US" w:eastAsia="zh-CN"/>
        </w:rPr>
        <w:t>2024</w:t>
      </w:r>
      <w:r>
        <w:rPr>
          <w:rFonts w:ascii="仿宋" w:hAnsi="仿宋" w:eastAsia="仿宋" w:cs="仿宋"/>
          <w:spacing w:val="0"/>
          <w:kern w:val="0"/>
          <w:sz w:val="32"/>
          <w:szCs w:val="32"/>
        </w:rPr>
        <w:t>年部门决算编制范围的单位详细情况见下表:</w:t>
      </w:r>
    </w:p>
    <w:tbl>
      <w:tblPr>
        <w:tblStyle w:val="31"/>
        <w:tblW w:w="8558" w:type="dxa"/>
        <w:jc w:val="center"/>
        <w:tblCellSpacing w:w="0" w:type="dxa"/>
        <w:tblInd w:w="0" w:type="dxa"/>
        <w:tblLayout w:type="fixed"/>
        <w:tblCellMar>
          <w:top w:w="15" w:type="dxa"/>
          <w:left w:w="15" w:type="dxa"/>
          <w:bottom w:w="15" w:type="dxa"/>
          <w:right w:w="15" w:type="dxa"/>
        </w:tblCellMar>
      </w:tblPr>
      <w:tblGrid>
        <w:gridCol w:w="1970"/>
        <w:gridCol w:w="6588"/>
      </w:tblGrid>
      <w:tr>
        <w:tblPrEx>
          <w:tblLayout w:type="fixed"/>
          <w:tblCellMar>
            <w:top w:w="15" w:type="dxa"/>
            <w:left w:w="15" w:type="dxa"/>
            <w:bottom w:w="15" w:type="dxa"/>
            <w:right w:w="15" w:type="dxa"/>
          </w:tblCellMar>
        </w:tblPrEx>
        <w:trPr>
          <w:cantSplit/>
          <w:trHeight w:val="664" w:hRule="atLeast"/>
          <w:tblHeader/>
          <w:tblCellSpacing w:w="0" w:type="dxa"/>
          <w:jc w:val="center"/>
        </w:trPr>
        <w:tc>
          <w:tcPr>
            <w:tcW w:w="1970" w:type="dxa"/>
            <w:tcBorders>
              <w:top w:val="single" w:color="000000" w:sz="8" w:space="0"/>
              <w:left w:val="single" w:color="000000" w:sz="8" w:space="0"/>
              <w:bottom w:val="single" w:color="000000" w:sz="8" w:space="0"/>
              <w:right w:val="single" w:color="000000" w:sz="8" w:space="0"/>
            </w:tcBorders>
            <w:tcMar>
              <w:top w:w="10" w:type="dxa"/>
              <w:left w:w="118" w:type="dxa"/>
              <w:bottom w:w="10" w:type="dxa"/>
              <w:right w:w="118" w:type="dxa"/>
            </w:tcMar>
            <w:vAlign w:val="center"/>
          </w:tcPr>
          <w:p>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bCs w:val="0"/>
                <w:i w:val="0"/>
                <w:iCs w:val="0"/>
                <w:smallCaps w:val="0"/>
                <w:color w:val="000000"/>
                <w:kern w:val="0"/>
                <w:sz w:val="21"/>
                <w:szCs w:val="32"/>
              </w:rPr>
              <w:t>序号</w:t>
            </w:r>
          </w:p>
        </w:tc>
        <w:tc>
          <w:tcPr>
            <w:tcW w:w="6588" w:type="dxa"/>
            <w:tcBorders>
              <w:top w:val="single" w:color="000000" w:sz="8" w:space="0"/>
              <w:bottom w:val="single" w:color="000000" w:sz="8" w:space="0"/>
              <w:right w:val="single" w:color="000000" w:sz="8" w:space="0"/>
            </w:tcBorders>
            <w:tcMar>
              <w:top w:w="10" w:type="dxa"/>
              <w:left w:w="108" w:type="dxa"/>
              <w:bottom w:w="10" w:type="dxa"/>
              <w:right w:w="118" w:type="dxa"/>
            </w:tcMar>
            <w:vAlign w:val="center"/>
          </w:tcPr>
          <w:p>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bCs w:val="0"/>
                <w:i w:val="0"/>
                <w:iCs w:val="0"/>
                <w:smallCaps w:val="0"/>
                <w:color w:val="000000"/>
                <w:kern w:val="0"/>
                <w:sz w:val="21"/>
                <w:szCs w:val="32"/>
              </w:rPr>
              <w:t>单位名称</w:t>
            </w:r>
          </w:p>
        </w:tc>
      </w:tr>
      <w:tr>
        <w:tblPrEx>
          <w:tblLayout w:type="fixed"/>
          <w:tblCellMar>
            <w:top w:w="15" w:type="dxa"/>
            <w:left w:w="15" w:type="dxa"/>
            <w:bottom w:w="15" w:type="dxa"/>
            <w:right w:w="15" w:type="dxa"/>
          </w:tblCellMar>
        </w:tblPrEx>
        <w:trPr>
          <w:cantSplit/>
          <w:tblCellSpacing w:w="0" w:type="dxa"/>
          <w:jc w:val="center"/>
        </w:trPr>
        <w:tc>
          <w:tcPr>
            <w:tcW w:w="1970" w:type="dxa"/>
            <w:tcBorders>
              <w:left w:val="single" w:color="000000" w:sz="8" w:space="0"/>
              <w:bottom w:val="single" w:color="000000" w:sz="8" w:space="0"/>
              <w:right w:val="single" w:color="000000" w:sz="8" w:space="0"/>
            </w:tcBorders>
            <w:tcMar>
              <w:top w:w="0" w:type="dxa"/>
              <w:left w:w="118" w:type="dxa"/>
              <w:bottom w:w="10" w:type="dxa"/>
              <w:right w:w="118" w:type="dxa"/>
            </w:tcMar>
            <w:vAlign w:val="top"/>
          </w:tcPr>
          <w:p>
            <w:pPr>
              <w:pStyle w:val="28"/>
              <w:widowControl/>
              <w:spacing w:before="100" w:after="100" w:line="600" w:lineRule="atLeast"/>
              <w:ind w:left="0" w:right="0"/>
              <w:jc w:val="center"/>
              <w:rPr>
                <w:rFonts w:hint="eastAsia" w:ascii="Times New Roman" w:hAnsi="Times New Roman" w:eastAsia="宋体" w:cs="Times New Roman"/>
                <w:b w:val="0"/>
                <w:bCs w:val="0"/>
                <w:i w:val="0"/>
                <w:iCs w:val="0"/>
                <w:smallCaps w:val="0"/>
                <w:color w:val="000000"/>
                <w:kern w:val="0"/>
                <w:sz w:val="24"/>
                <w:lang w:val="en-US" w:eastAsia="zh-CN"/>
              </w:rPr>
            </w:pPr>
            <w:r>
              <w:rPr>
                <w:rFonts w:ascii="宋体" w:hAnsi="宋体" w:eastAsia="宋体" w:cs="宋体"/>
                <w:b w:val="0"/>
                <w:bCs w:val="0"/>
                <w:i w:val="0"/>
                <w:iCs w:val="0"/>
                <w:smallCaps w:val="0"/>
                <w:color w:val="000000"/>
                <w:kern w:val="0"/>
                <w:sz w:val="21"/>
                <w:szCs w:val="32"/>
              </w:rPr>
              <w:t> </w:t>
            </w:r>
            <w:r>
              <w:rPr>
                <w:rFonts w:hint="eastAsia" w:ascii="宋体" w:hAnsi="宋体" w:cs="宋体"/>
                <w:b w:val="0"/>
                <w:bCs w:val="0"/>
                <w:i w:val="0"/>
                <w:iCs w:val="0"/>
                <w:smallCaps w:val="0"/>
                <w:color w:val="000000"/>
                <w:kern w:val="0"/>
                <w:sz w:val="21"/>
                <w:szCs w:val="32"/>
                <w:lang w:val="en-US" w:eastAsia="zh-CN"/>
              </w:rPr>
              <w:t>1</w:t>
            </w:r>
          </w:p>
        </w:tc>
        <w:tc>
          <w:tcPr>
            <w:tcW w:w="6588" w:type="dxa"/>
            <w:tcBorders>
              <w:bottom w:val="single" w:color="000000" w:sz="8" w:space="0"/>
              <w:right w:val="single" w:color="000000" w:sz="8" w:space="0"/>
            </w:tcBorders>
            <w:tcMar>
              <w:top w:w="0" w:type="dxa"/>
              <w:left w:w="108" w:type="dxa"/>
              <w:bottom w:w="10" w:type="dxa"/>
              <w:right w:w="118" w:type="dxa"/>
            </w:tcMar>
            <w:vAlign w:val="top"/>
          </w:tcPr>
          <w:p>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hint="eastAsia" w:ascii="仿宋" w:hAnsi="仿宋" w:eastAsia="仿宋" w:cs="仿宋"/>
                <w:b w:val="0"/>
                <w:bCs w:val="0"/>
                <w:i w:val="0"/>
                <w:iCs w:val="0"/>
                <w:smallCaps w:val="0"/>
                <w:color w:val="000000"/>
                <w:kern w:val="0"/>
                <w:sz w:val="32"/>
                <w:szCs w:val="32"/>
              </w:rPr>
              <w:t>福州市仓山区财政局（本级）</w:t>
            </w:r>
            <w:r>
              <w:rPr>
                <w:rFonts w:ascii="宋体" w:hAnsi="宋体" w:eastAsia="宋体" w:cs="宋体"/>
                <w:b w:val="0"/>
                <w:bCs w:val="0"/>
                <w:i w:val="0"/>
                <w:iCs w:val="0"/>
                <w:smallCaps w:val="0"/>
                <w:color w:val="000000"/>
                <w:kern w:val="0"/>
                <w:sz w:val="21"/>
                <w:szCs w:val="32"/>
              </w:rPr>
              <w:t> </w:t>
            </w:r>
          </w:p>
        </w:tc>
      </w:tr>
      <w:tr>
        <w:tblPrEx>
          <w:tblLayout w:type="fixed"/>
          <w:tblCellMar>
            <w:top w:w="15" w:type="dxa"/>
            <w:left w:w="15" w:type="dxa"/>
            <w:bottom w:w="15" w:type="dxa"/>
            <w:right w:w="15" w:type="dxa"/>
          </w:tblCellMar>
        </w:tblPrEx>
        <w:trPr>
          <w:cantSplit/>
          <w:tblCellSpacing w:w="0" w:type="dxa"/>
          <w:jc w:val="center"/>
        </w:trPr>
        <w:tc>
          <w:tcPr>
            <w:tcW w:w="1970" w:type="dxa"/>
            <w:tcBorders>
              <w:left w:val="single" w:color="000000" w:sz="8" w:space="0"/>
              <w:bottom w:val="single" w:color="000000" w:sz="8" w:space="0"/>
              <w:right w:val="single" w:color="000000" w:sz="8" w:space="0"/>
            </w:tcBorders>
            <w:tcMar>
              <w:top w:w="0" w:type="dxa"/>
              <w:left w:w="118" w:type="dxa"/>
              <w:bottom w:w="10" w:type="dxa"/>
              <w:right w:w="118" w:type="dxa"/>
            </w:tcMar>
            <w:vAlign w:val="top"/>
          </w:tcPr>
          <w:p>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hint="eastAsia" w:ascii="宋体" w:hAnsi="宋体" w:cs="宋体"/>
                <w:b w:val="0"/>
                <w:bCs w:val="0"/>
                <w:i w:val="0"/>
                <w:iCs w:val="0"/>
                <w:smallCaps w:val="0"/>
                <w:color w:val="000000"/>
                <w:kern w:val="0"/>
                <w:sz w:val="21"/>
                <w:szCs w:val="32"/>
                <w:lang w:val="en-US" w:eastAsia="zh-CN"/>
              </w:rPr>
              <w:t xml:space="preserve"> 2</w:t>
            </w:r>
          </w:p>
        </w:tc>
        <w:tc>
          <w:tcPr>
            <w:tcW w:w="6588" w:type="dxa"/>
            <w:tcBorders>
              <w:bottom w:val="single" w:color="000000" w:sz="8" w:space="0"/>
              <w:right w:val="single" w:color="000000" w:sz="8" w:space="0"/>
            </w:tcBorders>
            <w:tcMar>
              <w:top w:w="0" w:type="dxa"/>
              <w:left w:w="108" w:type="dxa"/>
              <w:bottom w:w="10" w:type="dxa"/>
              <w:right w:w="118" w:type="dxa"/>
            </w:tcMar>
            <w:vAlign w:val="top"/>
          </w:tcPr>
          <w:p>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hint="eastAsia" w:ascii="仿宋" w:hAnsi="仿宋" w:eastAsia="仿宋" w:cs="仿宋"/>
                <w:b w:val="0"/>
                <w:bCs w:val="0"/>
                <w:i w:val="0"/>
                <w:iCs w:val="0"/>
                <w:smallCaps w:val="0"/>
                <w:color w:val="000000"/>
                <w:kern w:val="0"/>
                <w:sz w:val="32"/>
                <w:szCs w:val="32"/>
              </w:rPr>
              <w:t>福州市仓山区国库集中支付中心</w:t>
            </w:r>
            <w:r>
              <w:rPr>
                <w:rFonts w:ascii="宋体" w:hAnsi="宋体" w:eastAsia="宋体" w:cs="宋体"/>
                <w:b w:val="0"/>
                <w:bCs w:val="0"/>
                <w:i w:val="0"/>
                <w:iCs w:val="0"/>
                <w:smallCaps w:val="0"/>
                <w:color w:val="000000"/>
                <w:kern w:val="0"/>
                <w:sz w:val="21"/>
                <w:szCs w:val="32"/>
              </w:rPr>
              <w:t> </w:t>
            </w:r>
          </w:p>
        </w:tc>
      </w:tr>
      <w:tr>
        <w:tblPrEx>
          <w:tblLayout w:type="fixed"/>
          <w:tblCellMar>
            <w:top w:w="15" w:type="dxa"/>
            <w:left w:w="15" w:type="dxa"/>
            <w:bottom w:w="15" w:type="dxa"/>
            <w:right w:w="15" w:type="dxa"/>
          </w:tblCellMar>
        </w:tblPrEx>
        <w:trPr>
          <w:cantSplit/>
          <w:tblCellSpacing w:w="0" w:type="dxa"/>
          <w:jc w:val="center"/>
        </w:trPr>
        <w:tc>
          <w:tcPr>
            <w:tcW w:w="1970" w:type="dxa"/>
            <w:tcBorders>
              <w:left w:val="single" w:color="000000" w:sz="8" w:space="0"/>
              <w:bottom w:val="single" w:color="000000" w:sz="8" w:space="0"/>
              <w:right w:val="single" w:color="000000" w:sz="8" w:space="0"/>
            </w:tcBorders>
            <w:tcMar>
              <w:top w:w="0" w:type="dxa"/>
              <w:left w:w="118" w:type="dxa"/>
              <w:bottom w:w="10" w:type="dxa"/>
              <w:right w:w="118" w:type="dxa"/>
            </w:tcMar>
            <w:vAlign w:val="top"/>
          </w:tcPr>
          <w:p>
            <w:pPr>
              <w:pStyle w:val="28"/>
              <w:widowControl/>
              <w:spacing w:before="100" w:after="100" w:line="600" w:lineRule="atLeast"/>
              <w:ind w:left="0" w:right="0"/>
              <w:jc w:val="center"/>
              <w:rPr>
                <w:rFonts w:hint="eastAsia" w:ascii="Times New Roman" w:hAnsi="Times New Roman" w:eastAsia="宋体" w:cs="Times New Roman"/>
                <w:b w:val="0"/>
                <w:bCs w:val="0"/>
                <w:i w:val="0"/>
                <w:iCs w:val="0"/>
                <w:smallCaps w:val="0"/>
                <w:color w:val="000000"/>
                <w:kern w:val="0"/>
                <w:sz w:val="24"/>
                <w:lang w:val="en-US" w:eastAsia="zh-CN"/>
              </w:rPr>
            </w:pPr>
            <w:r>
              <w:rPr>
                <w:rFonts w:ascii="宋体" w:hAnsi="宋体" w:eastAsia="宋体" w:cs="宋体"/>
                <w:b w:val="0"/>
                <w:bCs w:val="0"/>
                <w:i w:val="0"/>
                <w:iCs w:val="0"/>
                <w:smallCaps w:val="0"/>
                <w:color w:val="000000"/>
                <w:kern w:val="0"/>
                <w:sz w:val="21"/>
                <w:szCs w:val="32"/>
              </w:rPr>
              <w:t> </w:t>
            </w:r>
            <w:r>
              <w:rPr>
                <w:rFonts w:hint="eastAsia" w:ascii="宋体" w:hAnsi="宋体" w:cs="宋体"/>
                <w:b w:val="0"/>
                <w:bCs w:val="0"/>
                <w:i w:val="0"/>
                <w:iCs w:val="0"/>
                <w:smallCaps w:val="0"/>
                <w:color w:val="000000"/>
                <w:kern w:val="0"/>
                <w:sz w:val="21"/>
                <w:szCs w:val="32"/>
                <w:lang w:val="en-US" w:eastAsia="zh-CN"/>
              </w:rPr>
              <w:t>3</w:t>
            </w:r>
          </w:p>
        </w:tc>
        <w:tc>
          <w:tcPr>
            <w:tcW w:w="6588" w:type="dxa"/>
            <w:tcBorders>
              <w:bottom w:val="single" w:color="000000" w:sz="8" w:space="0"/>
              <w:right w:val="single" w:color="000000" w:sz="8" w:space="0"/>
            </w:tcBorders>
            <w:tcMar>
              <w:top w:w="0" w:type="dxa"/>
              <w:left w:w="108" w:type="dxa"/>
              <w:bottom w:w="10" w:type="dxa"/>
              <w:right w:w="118" w:type="dxa"/>
            </w:tcMar>
            <w:vAlign w:val="top"/>
          </w:tcPr>
          <w:p>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hint="eastAsia" w:ascii="仿宋" w:hAnsi="仿宋" w:eastAsia="仿宋" w:cs="仿宋"/>
                <w:spacing w:val="0"/>
                <w:kern w:val="0"/>
                <w:sz w:val="32"/>
                <w:szCs w:val="32"/>
              </w:rPr>
              <w:t>仓山区财政投资评审中心</w:t>
            </w:r>
            <w:r>
              <w:rPr>
                <w:rFonts w:ascii="宋体" w:hAnsi="宋体" w:eastAsia="宋体" w:cs="宋体"/>
                <w:b w:val="0"/>
                <w:bCs w:val="0"/>
                <w:i w:val="0"/>
                <w:iCs w:val="0"/>
                <w:smallCaps w:val="0"/>
                <w:color w:val="000000"/>
                <w:kern w:val="0"/>
                <w:sz w:val="21"/>
                <w:szCs w:val="32"/>
              </w:rPr>
              <w:t> </w:t>
            </w:r>
          </w:p>
        </w:tc>
      </w:tr>
    </w:tbl>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三、部门主要工作总结</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2024年以来，在区委、区政府的正确领导下，仓山区财政局坚持稳中求进工作总基调，推动积极的财政政策加力提效，立足新发展阶段，贯彻新发展理念，以“六大”活动为抓手，积极抓收入、调结构、防风险、保民生、促发展，为我区经济社会发展提供了坚实财力保障。围绕上述任务，重点完成了以下工作：</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一、2024年财政工作情况</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1-12月，全区地方一般公共预算收入24.69亿元；一般公共预算总收入39.58亿元。</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1-12月，全区一般公共预算支出37.96亿元（含上级补助和上年结转等支出，下同），比上年同期增加0.45亿元，增长1.2％。</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（一）深挖财源潜力，拓宽增收路径。</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是密切跟踪收入动态。1-12月，在房地产税收大幅下滑及去年同期对比基数较高的情况下，我局与国资国企、税务部门及相关区直部门密切配合，并积极与上级部门沟通协调，共争取到国有资产处置收入、经营权转让收入、土增税清算收入、免抵调指标等一次性收入7.4亿元，占1-12月地方收入比重达30%。</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是加强非税收入征管。通过财政、国资、国企联动，争取到股权处置收入、经营权转让收入、资产处置收入、利息收入等非税收入3.4亿元。1-12月我区税性收入占比79.6%，高于全市平均水平16.3个百分点，财政收入质量总体良好。</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三是狠抓项目储备。截至目前，一般债券需求项目共有21个，需求合计13.15亿元，已下达1.5亿元；专项债券需求项目共有12个，需求合计4.66亿元，已下达1.62亿元。</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四是努力清理暂付存量。通过对历年形成的财政暂付款，逐笔深入清查梳理，动态完善暂付款台账信息，切实做到“处置一笔、销号一笔”。全年累计消化暂付款3.44亿元。</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（二）抢抓政策机遇，厚植财政发展沃土。</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一是争取资金支持。通过积极向上争取资源，向省市税务争取免抵调库总额5.03亿元，较去年同期增长18.9%；持续落实留抵退税等组合式减税降费政策，1-12月累计留抵退税29184万元。</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是优化营商环境。协同金山工业园区持续推进企业自主提升工作，开展“保姆式”服务，积极推动园区发展。开展公平竞争政策审查工作，对区公审办初筛的“2020-2024年区政府文件公平竞争审查初筛目录”及“2020-2024年区政府会议纪要目录”进行筛查，共计筛查文件数2059件，有效促进市场公平竞争。</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三是强化直达资金监管。对执行过程中的偏差及时调整，确保直达资金精准投向。2024年1-12月，上级共下达中央直达资金1.59亿元，已分配1.59亿元，分配进度100%，已支付1.44亿元，支付率90.8％。</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（三）财政精准滴灌，持续增进民生福祉。</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是从严落实“三保”保障。严格按照上级部署开设“三保”专户，实行封闭运行、专项使用，兜牢兜实“三保”底线。每日监控库款情况，在优先保障“三保”支出的前提下，按照轻重缓急原则安排支出顺序，保障重点领域资金支付，合理调度财政资金。其中，在养老服务保障方面：为扎实推进养老民生实事项目，2024年预算安排1543.9万元；在就业人才保障方面：预算安排1000万元，落实兜底帮扶政策，促进重点群体就业，兑现人才专项资金；在低保、特困、孤儿人员保障方面：2024年安排预算经费2265.8万元，用于城市、农村低保、特困、孤儿、临时救助等支出。</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二是严格落实党政机关过紧日子的要求，严控一般性支出，部门公用经费按定额压减10%安排，切实当好“铁公鸡”，打好“铁算盘”。</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是推进建设健康仓山。加强公共卫生投入保障，人均基本公共卫生服务经费补助标准提高至94元；支持全区卫生健康服务能力提升，安排卫生健康支出30204.111万元；积极协调专项债券资金2000万元，用于全区13家基层医疗机构装修提升改造及信息化水平提升、医疗设备购置等。</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四是打造宜居宜业新家园。推进城乡环境综合整治，巩固落实垃圾分类“四定”工作机制，开展新一轮城市品质提升行动，助力构建生态仓山。2024年年初预算安排资金15813.88万元用于道路养护清扫、公厕日常管理、垃圾收运、公园日常管理、园林绿化建设等项目。同时，积极向上级争取市级资金，如高盖山生态公园建设工程（一期）建设项目资金12277.373804万元、江心公园改造项目建设资金881.1476万元、阳岐公园建设工程项目资金1362.708137万元。</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五是着力提高基础教育质量和师资力量。积极配合区教育局扩大优质教育资源覆盖面，落实城乡义务教育经费、困难学生补助资助机制；均衡学前教育经费保障水平,支持政府购买普惠性民办幼儿园；完善教育基础设施建设,推动中小学新建、改扩建工程,优化校园布局，不断探索完善集团化办学机制。</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六是切实做好征地拆迁工作，助力重点项目推进。截止到目前，主动对接市土发中心、市财政局，争取到市属征收项目资金98594.47万元。为确保用好用活征迁补偿款，加快推进我区征迁项目扫尾进度，定期跟踪征迁资金动向。规范资产评估报告合规性，出具房屋征收项目涉及设备、装修评估等资产评估报告合规性审核意见批复97项。</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 xml:space="preserve">（四）强化财政监督，巩固财政安全基石。 </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是开展财经纪律重点问题专项整治行动。组织全区各单位针对违规出台财税优惠政策招商引资、高标准农田建设资金使用管理等领域开展了自查自纠，并组织对发改、工信、商务等5家重点单位开展了财政复核。</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是加大财会监督力度。2024年以来，已受理政府采购投诉件案件5件，依法办结5件。严厉打击政府采购领域“四类”违法违规行为，依法对2家政府采购供应商、1家采购人的政府采购违法行为作出行政处罚。依照《</w:t>
      </w:r>
      <w:r>
        <w:rPr>
          <w:rFonts w:hint="eastAsia" w:ascii="仿宋" w:hAnsi="仿宋" w:eastAsia="仿宋" w:cs="仿宋"/>
          <w:spacing w:val="0"/>
          <w:kern w:val="0"/>
          <w:sz w:val="32"/>
          <w:szCs w:val="32"/>
          <w:lang w:eastAsia="zh-CN"/>
        </w:rPr>
        <w:t>中华人民共和国</w:t>
      </w:r>
      <w:r>
        <w:rPr>
          <w:rFonts w:hint="eastAsia" w:ascii="仿宋" w:hAnsi="仿宋" w:eastAsia="仿宋" w:cs="仿宋"/>
          <w:spacing w:val="0"/>
          <w:kern w:val="0"/>
          <w:sz w:val="32"/>
          <w:szCs w:val="32"/>
        </w:rPr>
        <w:t>会计法》《会计基础工作规范》等相关规定，对金山街道、区房管局、区文投集团开展会计信息质量检查工作。截至目前，已累计发出各类财会监督检查结论或整改通知书11份。结合各类财会监督工作，对螺洲镇、临江街道等单位相关整改情况开展了回头看。</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是强化助审管理。截止2024年12月31日，通过积极开展财政投资评审工作，中心已完成工程评审项目321个，涉及报审金额合计122448.12万元，综合核减金额14024.56万元，核减率为12.94%；规范资产评估报告合规性，出具房屋征收项目涉及设备、装修评估等资产评估报告合规性审核意见98项。同时，通过制定考核细则、强化考核结果应用、严格采取机械化随机抽取方式开展项目分配、落实“初审-复核-审批”三项审核流程，切实为提高评审质量和评审效率提供了重要保障。积极研究对第三方助审机构的考核监督方式，印发《仓山区财政投资评审中心助审工作考核办法》。</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四是加强国库集中支付动态监管。严格按照财政预算管理要求，确保各项支付业务的及时、准确、安全。1-12月，完成国库集中支付金额为38.37亿元，其中财政零余额共计支付29685笔，金额为31.24亿元，支出占比81.42%；单位零余额共计支付91270笔，金额为7.13亿元支出占比18.58%。截至2024年12月30日，全年通过一体化动态监控系统共拦截2904笔，经支付中心审核通过的共计178笔。</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五是完善预算绩效管理。组织单位开展年度预算绩效自评价和部门评价工作，已完成3396个预算项目绩效自评价及74家部门</w:t>
      </w:r>
      <w:bookmarkStart w:id="1" w:name="_GoBack"/>
      <w:bookmarkEnd w:id="1"/>
      <w:r>
        <w:rPr>
          <w:rFonts w:hint="eastAsia" w:ascii="仿宋" w:hAnsi="仿宋" w:eastAsia="仿宋" w:cs="仿宋"/>
          <w:spacing w:val="0"/>
          <w:kern w:val="0"/>
          <w:sz w:val="32"/>
          <w:szCs w:val="32"/>
        </w:rPr>
        <w:t>整体评价；组织对单位完成情况开展抽查复核、部署并指导各单位开展预算项目绩效监控有关工作。编制《福州市仓山区预算绩效目标和指标设置及取值指引》，逐步建立仓山区区级预算绩效指标库及分行业分领域绩效指标体系。</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（五）聚焦作风建设，展现机关党政新面貌。</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一是从严党员干部管理，激励党员积极作为。学习贯彻</w:t>
      </w:r>
      <w:r>
        <w:rPr>
          <w:rFonts w:hint="eastAsia" w:ascii="仿宋" w:hAnsi="仿宋" w:eastAsia="仿宋" w:cs="仿宋"/>
          <w:spacing w:val="0"/>
          <w:kern w:val="0"/>
          <w:sz w:val="32"/>
          <w:szCs w:val="32"/>
          <w:lang w:eastAsia="zh-CN"/>
        </w:rPr>
        <w:t>党的</w:t>
      </w:r>
      <w:r>
        <w:rPr>
          <w:rFonts w:hint="eastAsia" w:ascii="仿宋" w:hAnsi="仿宋" w:eastAsia="仿宋" w:cs="仿宋"/>
          <w:spacing w:val="0"/>
          <w:kern w:val="0"/>
          <w:sz w:val="32"/>
          <w:szCs w:val="32"/>
        </w:rPr>
        <w:t>二十届三中全会精神，坚持党中央对进一步全面深化改革的集中统一领导，不断深化党的建设制度改革，深入推进党风廉政建设和反腐败斗争。严格落实全面从严治党主体责任和纪委监督责任，将全面从严治党严在日常，管在平常。党组书记带头进行廉政授课2次，在节假日等重要节点，向领导班子提出纪律提醒和履职建议3次。深入开展作风整顿提升专项活动，推动党员干部作风转变。累计形成个人岗位廉政风险点和科室业务廉政风险点139条，签订廉洁伙伴协议书两份，切实推动作风转变。</w:t>
      </w:r>
    </w:p>
    <w:p>
      <w:pPr>
        <w:pStyle w:val="28"/>
        <w:widowControl/>
        <w:spacing w:before="100" w:after="100"/>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是加强党风廉政建设，建强干部队伍。开展以案促改警示教育，组织全体党员干部到廉政教育基地开展廉政警示教育。把党章党规党纪作为干部必修课，党组会及时传达省、市、区通报的典型案例，党组书记上廉政专题党课1次，对新进干部开展廉政提醒谈话3次。在传统节假日等特殊时间节点，开展廉政集体谈话90余人次。严格执行党员、干部操办婚丧喜庆事宜有关规定，财政国资干部均能自觉按规定向支部及纪检监察组报备。</w:t>
      </w:r>
    </w:p>
    <w:p>
      <w:pPr>
        <w:pStyle w:val="28"/>
        <w:widowControl/>
        <w:spacing w:before="100" w:after="100"/>
        <w:ind w:left="0" w:right="0" w:firstLine="640"/>
        <w:jc w:val="left"/>
        <w:rPr>
          <w:rFonts w:ascii="仿宋" w:hAnsi="仿宋" w:eastAsia="仿宋" w:cs="仿宋"/>
          <w:spacing w:val="0"/>
          <w:kern w:val="0"/>
          <w:sz w:val="32"/>
          <w:szCs w:val="32"/>
        </w:rPr>
      </w:pPr>
      <w:r>
        <w:rPr>
          <w:rFonts w:hint="eastAsia" w:ascii="仿宋" w:hAnsi="仿宋" w:eastAsia="仿宋" w:cs="仿宋"/>
          <w:spacing w:val="0"/>
          <w:kern w:val="0"/>
          <w:sz w:val="32"/>
          <w:szCs w:val="32"/>
        </w:rPr>
        <w:t>三是强化组织领导，确保巡察整改到位。局党组立即成立巡察整改工作领导小组，统筹抓好巡察整改，下设办公室负责巡察整改日常工作。3个月集中整改期间，党组4次开会集中部署、专项研究巡察整改工作任务，巡察整改办开会集中研究或逐一座谈对接推进整改工作。针对40个具体问题制定了59条整改措施，列出问题清单、责任清单、任务清单，明确责任领导、责任单位、责任人。对能立即整改到位的，立行立改；对需要一定时间解决或长期整改的，持续发力，久久为功。对巡察意见整改工作进行跟踪督办做到“整改一个销号一个”，确保整改任务不折不扣落实到位</w:t>
      </w:r>
      <w:r>
        <w:rPr>
          <w:rFonts w:ascii="仿宋" w:hAnsi="仿宋" w:eastAsia="仿宋" w:cs="仿宋"/>
          <w:spacing w:val="0"/>
          <w:kern w:val="0"/>
          <w:sz w:val="32"/>
          <w:szCs w:val="32"/>
        </w:rPr>
        <w:t>。</w:t>
      </w: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left="0" w:right="0" w:firstLine="640"/>
        <w:jc w:val="left"/>
        <w:rPr>
          <w:rFonts w:ascii="仿宋" w:hAnsi="仿宋" w:eastAsia="仿宋" w:cs="仿宋"/>
          <w:spacing w:val="0"/>
          <w:kern w:val="0"/>
          <w:sz w:val="32"/>
          <w:szCs w:val="32"/>
        </w:rPr>
      </w:pPr>
    </w:p>
    <w:p>
      <w:pPr>
        <w:pStyle w:val="28"/>
        <w:widowControl/>
        <w:spacing w:before="100" w:after="100"/>
        <w:ind w:right="0"/>
        <w:jc w:val="left"/>
        <w:rPr>
          <w:rFonts w:ascii="仿宋" w:hAnsi="仿宋" w:eastAsia="仿宋" w:cs="仿宋"/>
          <w:spacing w:val="0"/>
          <w:kern w:val="0"/>
          <w:sz w:val="32"/>
          <w:szCs w:val="32"/>
        </w:rPr>
      </w:pP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r>
        <w:rPr>
          <w:rFonts w:ascii="宋体" w:hAnsi="宋体" w:cs="宋体"/>
          <w:spacing w:val="0"/>
          <w:kern w:val="0"/>
          <w:sz w:val="36"/>
          <w:szCs w:val="36"/>
        </w:rPr>
        <w:t>     </w:t>
      </w:r>
    </w:p>
    <w:p>
      <w:pPr>
        <w:pStyle w:val="29"/>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第二部分</w:t>
      </w:r>
      <w:r>
        <w:rPr>
          <w:rFonts w:ascii="宋体" w:hAnsi="宋体" w:cs="宋体"/>
          <w:spacing w:val="0"/>
          <w:kern w:val="0"/>
          <w:sz w:val="56"/>
          <w:szCs w:val="56"/>
        </w:rPr>
        <w:t> </w:t>
      </w:r>
    </w:p>
    <w:p>
      <w:pPr>
        <w:pStyle w:val="29"/>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56"/>
          <w:szCs w:val="56"/>
        </w:rPr>
        <w:t>2024年度部门决算表</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一、收入支出决算总表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2"/>
        <w:tblW w:w="15159" w:type="dxa"/>
        <w:tblInd w:w="20" w:type="dxa"/>
        <w:tblLayout w:type="fixed"/>
        <w:tblCellMar>
          <w:top w:w="0" w:type="dxa"/>
          <w:left w:w="108" w:type="dxa"/>
          <w:bottom w:w="0" w:type="dxa"/>
          <w:right w:w="108" w:type="dxa"/>
        </w:tblCellMar>
      </w:tblPr>
      <w:tblGrid>
        <w:gridCol w:w="3789"/>
        <w:gridCol w:w="3790"/>
        <w:gridCol w:w="3790"/>
        <w:gridCol w:w="3790"/>
      </w:tblGrid>
      <w:tr>
        <w:tblPrEx>
          <w:tblLayout w:type="fixed"/>
          <w:tblCellMar>
            <w:top w:w="0" w:type="dxa"/>
            <w:left w:w="108" w:type="dxa"/>
            <w:bottom w:w="0" w:type="dxa"/>
            <w:right w:w="108" w:type="dxa"/>
          </w:tblCellMar>
        </w:tblPrEx>
        <w:trPr>
          <w:cantSplit/>
          <w:tblHeader/>
        </w:trPr>
        <w:tc>
          <w:tcPr>
            <w:tcW w:w="15159" w:type="dxa"/>
            <w:gridSpan w:val="4"/>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tblPrEx>
          <w:tblLayout w:type="fixed"/>
          <w:tblCellMar>
            <w:top w:w="0" w:type="dxa"/>
            <w:left w:w="108" w:type="dxa"/>
            <w:bottom w:w="0" w:type="dxa"/>
            <w:right w:w="108" w:type="dxa"/>
          </w:tblCellMar>
        </w:tblPrEx>
        <w:trPr>
          <w:cantSplit/>
          <w:tblHeader/>
        </w:trPr>
        <w:tc>
          <w:tcPr>
            <w:tcW w:w="7579" w:type="dxa"/>
            <w:gridSpan w:val="2"/>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0"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0"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tblPrEx>
          <w:tblLayout w:type="fixed"/>
          <w:tblCellMar>
            <w:top w:w="0" w:type="dxa"/>
            <w:left w:w="108" w:type="dxa"/>
            <w:bottom w:w="0" w:type="dxa"/>
            <w:right w:w="108" w:type="dxa"/>
          </w:tblCellMar>
        </w:tblPrEx>
        <w:trPr>
          <w:cantSplit/>
          <w:tblHeader/>
        </w:trPr>
        <w:tc>
          <w:tcPr>
            <w:tcW w:w="11369" w:type="dxa"/>
            <w:gridSpan w:val="3"/>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3790"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7579"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758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Layout w:type="fixed"/>
          <w:tblCellMar>
            <w:top w:w="0" w:type="dxa"/>
            <w:left w:w="108" w:type="dxa"/>
            <w:bottom w:w="0" w:type="dxa"/>
            <w:right w:w="108" w:type="dxa"/>
          </w:tblCellMar>
        </w:tblPrEx>
        <w:trPr>
          <w:cantSplit/>
          <w:tblHeader/>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r>
      <w:tr>
        <w:tblPrEx>
          <w:tblLayout w:type="fixed"/>
          <w:tblCellMar>
            <w:top w:w="0" w:type="dxa"/>
            <w:left w:w="108" w:type="dxa"/>
            <w:bottom w:w="0" w:type="dxa"/>
            <w:right w:w="108" w:type="dxa"/>
          </w:tblCellMar>
        </w:tblPrEx>
        <w:trPr>
          <w:cantSplit/>
        </w:trPr>
        <w:tc>
          <w:tcPr>
            <w:tcW w:w="15159" w:type="dxa"/>
            <w:gridSpan w:val="4"/>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tblPrEx>
          <w:tblLayout w:type="fixed"/>
          <w:tblCellMar>
            <w:top w:w="0" w:type="dxa"/>
            <w:left w:w="108" w:type="dxa"/>
            <w:bottom w:w="0" w:type="dxa"/>
            <w:right w:w="108" w:type="dxa"/>
          </w:tblCellMar>
        </w:tblPrEx>
        <w:trPr>
          <w:cantSplit/>
        </w:trPr>
        <w:tc>
          <w:tcPr>
            <w:tcW w:w="15159" w:type="dxa"/>
            <w:gridSpan w:val="4"/>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pPr>
        <w:sectPr>
          <w:footerReference r:id="rId3"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start="1"/>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二、收入决算表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2"/>
        <w:tblW w:w="15159" w:type="dxa"/>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tblPrEx>
          <w:tblLayout w:type="fixed"/>
          <w:tblCellMar>
            <w:top w:w="0" w:type="dxa"/>
            <w:left w:w="108" w:type="dxa"/>
            <w:bottom w:w="0" w:type="dxa"/>
            <w:right w:w="108" w:type="dxa"/>
          </w:tblCellMar>
        </w:tblPrEx>
        <w:trPr>
          <w:cantSplit/>
          <w:tblHeader/>
        </w:trPr>
        <w:tc>
          <w:tcPr>
            <w:tcW w:w="15159" w:type="dxa"/>
            <w:gridSpan w:val="11"/>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tblPrEx>
          <w:tblLayout w:type="fixed"/>
          <w:tblCellMar>
            <w:top w:w="0" w:type="dxa"/>
            <w:left w:w="108" w:type="dxa"/>
            <w:bottom w:w="0" w:type="dxa"/>
            <w:right w:w="108" w:type="dxa"/>
          </w:tblCellMar>
        </w:tblPrEx>
        <w:trPr>
          <w:cantSplit/>
          <w:tblHeader/>
        </w:trPr>
        <w:tc>
          <w:tcPr>
            <w:tcW w:w="1156" w:type="dxa"/>
            <w:gridSpan w:val="2"/>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9"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tblPrEx>
          <w:tblLayout w:type="fixed"/>
          <w:tblCellMar>
            <w:top w:w="0" w:type="dxa"/>
            <w:left w:w="108" w:type="dxa"/>
            <w:bottom w:w="0" w:type="dxa"/>
            <w:right w:w="108" w:type="dxa"/>
          </w:tblCellMar>
        </w:tblPrEx>
        <w:trPr>
          <w:cantSplit/>
          <w:tblHeader/>
        </w:trPr>
        <w:tc>
          <w:tcPr>
            <w:tcW w:w="8447" w:type="dxa"/>
            <w:gridSpan w:val="7"/>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341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tblPrEx>
          <w:tblLayout w:type="fixed"/>
          <w:tblCellMar>
            <w:top w:w="0" w:type="dxa"/>
            <w:left w:w="108" w:type="dxa"/>
            <w:bottom w:w="0" w:type="dxa"/>
            <w:right w:w="108" w:type="dxa"/>
          </w:tblCellMar>
        </w:tblPrEx>
        <w:trPr>
          <w:cantSplit/>
          <w:tblHeader/>
        </w:trPr>
        <w:tc>
          <w:tcPr>
            <w:tcW w:w="1734"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67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1734"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财政事务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283.06</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283.06</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一般行政管理事务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2010650</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404.10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404.10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44.79</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44.79</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33.05</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33.05</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5159" w:type="dxa"/>
            <w:gridSpan w:val="11"/>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pPr>
        <w:sectPr>
          <w:footerReference r:id="rId4"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三、支出决算表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2"/>
        <w:tblW w:w="15560" w:type="dxa"/>
        <w:tblInd w:w="20" w:type="dxa"/>
        <w:tblLayout w:type="fixed"/>
        <w:tblCellMar>
          <w:top w:w="0" w:type="dxa"/>
          <w:left w:w="108" w:type="dxa"/>
          <w:bottom w:w="0" w:type="dxa"/>
          <w:right w:w="108" w:type="dxa"/>
        </w:tblCellMar>
      </w:tblPr>
      <w:tblGrid>
        <w:gridCol w:w="629"/>
        <w:gridCol w:w="629"/>
        <w:gridCol w:w="680"/>
        <w:gridCol w:w="1946"/>
        <w:gridCol w:w="1946"/>
        <w:gridCol w:w="1946"/>
        <w:gridCol w:w="1946"/>
        <w:gridCol w:w="1946"/>
        <w:gridCol w:w="1946"/>
        <w:gridCol w:w="1946"/>
      </w:tblGrid>
      <w:tr>
        <w:tblPrEx>
          <w:tblLayout w:type="fixed"/>
          <w:tblCellMar>
            <w:top w:w="0" w:type="dxa"/>
            <w:left w:w="108" w:type="dxa"/>
            <w:bottom w:w="0" w:type="dxa"/>
            <w:right w:w="108" w:type="dxa"/>
          </w:tblCellMar>
        </w:tblPrEx>
        <w:trPr>
          <w:cantSplit/>
          <w:tblHeader/>
        </w:trPr>
        <w:tc>
          <w:tcPr>
            <w:tcW w:w="15560" w:type="dxa"/>
            <w:gridSpan w:val="1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tblPrEx>
          <w:tblLayout w:type="fixed"/>
          <w:tblCellMar>
            <w:top w:w="0" w:type="dxa"/>
            <w:left w:w="108" w:type="dxa"/>
            <w:bottom w:w="0" w:type="dxa"/>
            <w:right w:w="108" w:type="dxa"/>
          </w:tblCellMar>
        </w:tblPrEx>
        <w:trPr>
          <w:cantSplit/>
          <w:tblHeader/>
        </w:trPr>
        <w:tc>
          <w:tcPr>
            <w:tcW w:w="3884" w:type="dxa"/>
            <w:gridSpan w:val="4"/>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94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94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94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94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892"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tblPrEx>
          <w:tblLayout w:type="fixed"/>
          <w:tblCellMar>
            <w:top w:w="0" w:type="dxa"/>
            <w:left w:w="108" w:type="dxa"/>
            <w:bottom w:w="0" w:type="dxa"/>
            <w:right w:w="108" w:type="dxa"/>
          </w:tblCellMar>
        </w:tblPrEx>
        <w:trPr>
          <w:cantSplit/>
          <w:tblHeader/>
        </w:trPr>
        <w:tc>
          <w:tcPr>
            <w:tcW w:w="9722" w:type="dxa"/>
            <w:gridSpan w:val="7"/>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194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892"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3884"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tblPrEx>
          <w:tblLayout w:type="fixed"/>
          <w:tblCellMar>
            <w:top w:w="0" w:type="dxa"/>
            <w:left w:w="108" w:type="dxa"/>
            <w:bottom w:w="0" w:type="dxa"/>
            <w:right w:w="108" w:type="dxa"/>
          </w:tblCellMar>
        </w:tblPrEx>
        <w:trPr>
          <w:cantSplit/>
          <w:tblHeader/>
        </w:trPr>
        <w:tc>
          <w:tcPr>
            <w:tcW w:w="1938"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94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1938"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94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8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701.78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154.1</w:t>
            </w:r>
            <w:r>
              <w:rPr>
                <w:rFonts w:hint="eastAsia" w:ascii="宋体" w:hAnsi="宋体" w:cs="宋体"/>
                <w:b w:val="0"/>
                <w:bCs w:val="0"/>
                <w:i w:val="0"/>
                <w:iCs w:val="0"/>
                <w:smallCaps w:val="0"/>
                <w:color w:val="000000"/>
                <w:kern w:val="0"/>
                <w:sz w:val="21"/>
                <w:szCs w:val="26"/>
                <w:lang w:val="en-US" w:eastAsia="zh-CN"/>
              </w:rPr>
              <w:t>5</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615.40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154.1</w:t>
            </w:r>
            <w:r>
              <w:rPr>
                <w:rFonts w:hint="eastAsia" w:ascii="宋体" w:hAnsi="宋体" w:cs="宋体"/>
                <w:b w:val="0"/>
                <w:bCs w:val="0"/>
                <w:i w:val="0"/>
                <w:iCs w:val="0"/>
                <w:smallCaps w:val="0"/>
                <w:color w:val="000000"/>
                <w:kern w:val="0"/>
                <w:sz w:val="21"/>
                <w:szCs w:val="26"/>
                <w:lang w:val="en-US" w:eastAsia="zh-CN"/>
              </w:rPr>
              <w:t>5</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财政事务</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615.40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154.1</w:t>
            </w:r>
            <w:r>
              <w:rPr>
                <w:rFonts w:hint="eastAsia" w:ascii="宋体" w:hAnsi="宋体" w:cs="宋体"/>
                <w:b w:val="0"/>
                <w:bCs w:val="0"/>
                <w:i w:val="0"/>
                <w:iCs w:val="0"/>
                <w:smallCaps w:val="0"/>
                <w:color w:val="000000"/>
                <w:kern w:val="0"/>
                <w:sz w:val="21"/>
                <w:szCs w:val="26"/>
                <w:lang w:val="en-US" w:eastAsia="zh-CN"/>
              </w:rPr>
              <w:t>5</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2010601</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283.06</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68.07</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2010602</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一般行政管理事务</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2010650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404.10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400.40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44.79</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44.79</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8.54</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8.54</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93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33.05</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33.05</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94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5560" w:type="dxa"/>
            <w:gridSpan w:val="1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pPr>
        <w:sectPr>
          <w:footerReference r:id="rId5" w:type="default"/>
          <w:pgSz w:w="16783" w:h="11850"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四、财政拨款收入支出决算总表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2"/>
        <w:tblW w:w="15159" w:type="dxa"/>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tblPrEx>
          <w:tblLayout w:type="fixed"/>
          <w:tblCellMar>
            <w:top w:w="0" w:type="dxa"/>
            <w:left w:w="108" w:type="dxa"/>
            <w:bottom w:w="0" w:type="dxa"/>
            <w:right w:w="108" w:type="dxa"/>
          </w:tblCellMar>
        </w:tblPrEx>
        <w:trPr>
          <w:cantSplit/>
          <w:tblHeader/>
        </w:trPr>
        <w:tc>
          <w:tcPr>
            <w:tcW w:w="15159" w:type="dxa"/>
            <w:gridSpan w:val="7"/>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tblPrEx>
          <w:tblLayout w:type="fixed"/>
          <w:tblCellMar>
            <w:top w:w="0" w:type="dxa"/>
            <w:left w:w="108" w:type="dxa"/>
            <w:bottom w:w="0" w:type="dxa"/>
            <w:right w:w="108" w:type="dxa"/>
          </w:tblCellMar>
        </w:tblPrEx>
        <w:trPr>
          <w:cantSplit/>
          <w:tblHeader/>
        </w:trPr>
        <w:tc>
          <w:tcPr>
            <w:tcW w:w="8661" w:type="dxa"/>
            <w:gridSpan w:val="4"/>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4332"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tblPrEx>
          <w:tblLayout w:type="fixed"/>
          <w:tblCellMar>
            <w:top w:w="0" w:type="dxa"/>
            <w:left w:w="108" w:type="dxa"/>
            <w:bottom w:w="0" w:type="dxa"/>
            <w:right w:w="108" w:type="dxa"/>
          </w:tblCellMar>
        </w:tblPrEx>
        <w:trPr>
          <w:cantSplit/>
          <w:tblHeader/>
        </w:trPr>
        <w:tc>
          <w:tcPr>
            <w:tcW w:w="8661" w:type="dxa"/>
            <w:gridSpan w:val="4"/>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216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4332"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433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10829" w:type="dxa"/>
            <w:gridSpan w:val="5"/>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Layout w:type="fixed"/>
          <w:tblCellMar>
            <w:top w:w="0" w:type="dxa"/>
            <w:left w:w="108" w:type="dxa"/>
            <w:bottom w:w="0" w:type="dxa"/>
            <w:right w:w="108" w:type="dxa"/>
          </w:tblCellMar>
        </w:tblPrEx>
        <w:trPr>
          <w:cantSplit/>
          <w:tblHeader/>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5159" w:type="dxa"/>
            <w:gridSpan w:val="7"/>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pPr>
        <w:sectPr>
          <w:footerReference r:id="rId6"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五、一般公共预算财政拨款支出决算表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2"/>
        <w:tblW w:w="15159" w:type="dxa"/>
        <w:tblInd w:w="20" w:type="dxa"/>
        <w:tblLayout w:type="fixed"/>
        <w:tblCellMar>
          <w:top w:w="0" w:type="dxa"/>
          <w:left w:w="108" w:type="dxa"/>
          <w:bottom w:w="0" w:type="dxa"/>
          <w:right w:w="108" w:type="dxa"/>
        </w:tblCellMar>
      </w:tblPr>
      <w:tblGrid>
        <w:gridCol w:w="1740"/>
        <w:gridCol w:w="3354"/>
        <w:gridCol w:w="3355"/>
        <w:gridCol w:w="3355"/>
        <w:gridCol w:w="3355"/>
      </w:tblGrid>
      <w:tr>
        <w:tblPrEx>
          <w:tblLayout w:type="fixed"/>
          <w:tblCellMar>
            <w:top w:w="0" w:type="dxa"/>
            <w:left w:w="108" w:type="dxa"/>
            <w:bottom w:w="0" w:type="dxa"/>
            <w:right w:w="108" w:type="dxa"/>
          </w:tblCellMar>
        </w:tblPrEx>
        <w:trPr>
          <w:cantSplit/>
          <w:tblHeader/>
        </w:trPr>
        <w:tc>
          <w:tcPr>
            <w:tcW w:w="15159" w:type="dxa"/>
            <w:gridSpan w:val="5"/>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tblPrEx>
          <w:tblLayout w:type="fixed"/>
          <w:tblCellMar>
            <w:top w:w="0" w:type="dxa"/>
            <w:left w:w="108" w:type="dxa"/>
            <w:bottom w:w="0" w:type="dxa"/>
            <w:right w:w="108" w:type="dxa"/>
          </w:tblCellMar>
        </w:tblPrEx>
        <w:trPr>
          <w:cantSplit/>
          <w:tblHeader/>
        </w:trPr>
        <w:tc>
          <w:tcPr>
            <w:tcW w:w="5094" w:type="dxa"/>
            <w:gridSpan w:val="2"/>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55"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710"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tblPrEx>
          <w:tblLayout w:type="fixed"/>
          <w:tblCellMar>
            <w:top w:w="0" w:type="dxa"/>
            <w:left w:w="108" w:type="dxa"/>
            <w:bottom w:w="0" w:type="dxa"/>
            <w:right w:w="108" w:type="dxa"/>
          </w:tblCellMar>
        </w:tblPrEx>
        <w:trPr>
          <w:cantSplit/>
          <w:tblHeader/>
        </w:trPr>
        <w:tc>
          <w:tcPr>
            <w:tcW w:w="8449" w:type="dxa"/>
            <w:gridSpan w:val="3"/>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6710"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5094"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0065"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Layout w:type="fixed"/>
          <w:tblCellMar>
            <w:top w:w="0" w:type="dxa"/>
            <w:left w:w="108" w:type="dxa"/>
            <w:bottom w:w="0" w:type="dxa"/>
            <w:right w:w="108" w:type="dxa"/>
          </w:tblCellMar>
        </w:tblPrEx>
        <w:trPr>
          <w:cantSplit/>
          <w:tblHeader/>
        </w:trPr>
        <w:tc>
          <w:tcPr>
            <w:tcW w:w="1740"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35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Layout w:type="fixed"/>
          <w:tblCellMar>
            <w:top w:w="0" w:type="dxa"/>
            <w:left w:w="108" w:type="dxa"/>
            <w:bottom w:w="0" w:type="dxa"/>
            <w:right w:w="108" w:type="dxa"/>
          </w:tblCellMar>
        </w:tblPrEx>
        <w:trPr>
          <w:cantSplit/>
          <w:tblHeader/>
        </w:trPr>
        <w:tc>
          <w:tcPr>
            <w:tcW w:w="174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rPr>
        <w:tc>
          <w:tcPr>
            <w:tcW w:w="5094"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855.93</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701.78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154.1</w:t>
            </w:r>
            <w:r>
              <w:rPr>
                <w:rFonts w:hint="eastAsia" w:ascii="宋体" w:hAnsi="宋体" w:cs="宋体"/>
                <w:b w:val="0"/>
                <w:bCs w:val="0"/>
                <w:i w:val="0"/>
                <w:iCs w:val="0"/>
                <w:smallCaps w:val="0"/>
                <w:color w:val="000000"/>
                <w:kern w:val="0"/>
                <w:sz w:val="21"/>
                <w:szCs w:val="26"/>
                <w:lang w:val="en-US" w:eastAsia="zh-CN"/>
              </w:rPr>
              <w:t>5</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615.40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154.1</w:t>
            </w:r>
            <w:r>
              <w:rPr>
                <w:rFonts w:hint="eastAsia" w:ascii="宋体" w:hAnsi="宋体" w:cs="宋体"/>
                <w:b w:val="0"/>
                <w:bCs w:val="0"/>
                <w:i w:val="0"/>
                <w:iCs w:val="0"/>
                <w:smallCaps w:val="0"/>
                <w:color w:val="000000"/>
                <w:kern w:val="0"/>
                <w:sz w:val="21"/>
                <w:szCs w:val="26"/>
                <w:lang w:val="en-US" w:eastAsia="zh-CN"/>
              </w:rPr>
              <w:t>5</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财政事务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769.54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615.40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154.1</w:t>
            </w:r>
            <w:r>
              <w:rPr>
                <w:rFonts w:hint="eastAsia" w:ascii="宋体" w:hAnsi="宋体" w:cs="宋体"/>
                <w:b w:val="0"/>
                <w:bCs w:val="0"/>
                <w:i w:val="0"/>
                <w:iCs w:val="0"/>
                <w:smallCaps w:val="0"/>
                <w:color w:val="000000"/>
                <w:kern w:val="0"/>
                <w:sz w:val="21"/>
                <w:szCs w:val="26"/>
                <w:lang w:val="en-US" w:eastAsia="zh-CN"/>
              </w:rPr>
              <w:t>5</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283.06</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215.00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68.07</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一般行政管理事务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82.38</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2010650</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404.10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400.40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3.70</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86.38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44.79</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44.79</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33.05</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33.05</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pPr>
        <w:sectPr>
          <w:footerReference r:id="rId7"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六、一般公共预算财政拨款基本支出决算表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2"/>
        <w:tblW w:w="15159" w:type="dxa"/>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tblPrEx>
          <w:tblLayout w:type="fixed"/>
          <w:tblCellMar>
            <w:top w:w="0" w:type="dxa"/>
            <w:left w:w="108" w:type="dxa"/>
            <w:bottom w:w="0" w:type="dxa"/>
            <w:right w:w="108" w:type="dxa"/>
          </w:tblCellMar>
        </w:tblPrEx>
        <w:trPr>
          <w:cantSplit/>
          <w:tblHeader/>
        </w:trPr>
        <w:tc>
          <w:tcPr>
            <w:tcW w:w="15159" w:type="dxa"/>
            <w:gridSpan w:val="9"/>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tblPrEx>
          <w:tblLayout w:type="fixed"/>
          <w:tblCellMar>
            <w:top w:w="0" w:type="dxa"/>
            <w:left w:w="108" w:type="dxa"/>
            <w:bottom w:w="0" w:type="dxa"/>
            <w:right w:w="108" w:type="dxa"/>
          </w:tblCellMar>
        </w:tblPrEx>
        <w:trPr>
          <w:cantSplit/>
          <w:tblHeader/>
        </w:trPr>
        <w:tc>
          <w:tcPr>
            <w:tcW w:w="6739" w:type="dxa"/>
            <w:gridSpan w:val="4"/>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68"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tblPrEx>
          <w:tblLayout w:type="fixed"/>
          <w:tblCellMar>
            <w:top w:w="0" w:type="dxa"/>
            <w:left w:w="108" w:type="dxa"/>
            <w:bottom w:w="0" w:type="dxa"/>
            <w:right w:w="108" w:type="dxa"/>
          </w:tblCellMar>
        </w:tblPrEx>
        <w:trPr>
          <w:cantSplit/>
          <w:tblHeader/>
        </w:trPr>
        <w:tc>
          <w:tcPr>
            <w:tcW w:w="10107" w:type="dxa"/>
            <w:gridSpan w:val="6"/>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1684"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68" w:type="dxa"/>
            <w:gridSpan w:val="2"/>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tblPrEx>
          <w:tblLayout w:type="fixed"/>
          <w:tblCellMar>
            <w:top w:w="0" w:type="dxa"/>
            <w:left w:w="108" w:type="dxa"/>
            <w:bottom w:w="0" w:type="dxa"/>
            <w:right w:w="108" w:type="dxa"/>
          </w:tblCellMar>
        </w:tblPrEx>
        <w:trPr>
          <w:cantSplit/>
          <w:tblHeader/>
        </w:trPr>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621.51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50.58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126.87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100.76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46.24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135.46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49.94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9.36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18.17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0.17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29.69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29.69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337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651.20</w:t>
            </w:r>
          </w:p>
        </w:tc>
        <w:tc>
          <w:tcPr>
            <w:tcW w:w="8420" w:type="dxa"/>
            <w:gridSpan w:val="5"/>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50.58</w:t>
            </w:r>
          </w:p>
        </w:tc>
      </w:tr>
      <w:tr>
        <w:tblPrEx>
          <w:tblLayout w:type="fixed"/>
          <w:tblCellMar>
            <w:top w:w="0" w:type="dxa"/>
            <w:left w:w="108" w:type="dxa"/>
            <w:bottom w:w="0" w:type="dxa"/>
            <w:right w:w="108" w:type="dxa"/>
          </w:tblCellMar>
        </w:tblPrEx>
        <w:trPr>
          <w:cantSplit/>
        </w:trPr>
        <w:tc>
          <w:tcPr>
            <w:tcW w:w="15159" w:type="dxa"/>
            <w:gridSpan w:val="9"/>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pPr>
        <w:sectPr>
          <w:footerReference r:id="rId8"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七、一般公共预算财政拨款“三公”经费支出决算表</w:t>
      </w:r>
    </w:p>
    <w:p>
      <w:pPr>
        <w:sectPr>
          <w:footerReference r:id="rId9" w:type="default"/>
          <w:pgSz w:w="11906" w:h="16383"/>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2"/>
        <w:tblW w:w="15159" w:type="dxa"/>
        <w:tblInd w:w="20" w:type="dxa"/>
        <w:tblLayout w:type="fixed"/>
        <w:tblCellMar>
          <w:top w:w="0" w:type="dxa"/>
          <w:left w:w="108" w:type="dxa"/>
          <w:bottom w:w="0" w:type="dxa"/>
          <w:right w:w="108" w:type="dxa"/>
        </w:tblCellMar>
      </w:tblPr>
      <w:tblGrid>
        <w:gridCol w:w="5053"/>
        <w:gridCol w:w="5053"/>
        <w:gridCol w:w="5053"/>
      </w:tblGrid>
      <w:tr>
        <w:tblPrEx>
          <w:tblLayout w:type="fixed"/>
          <w:tblCellMar>
            <w:top w:w="0" w:type="dxa"/>
            <w:left w:w="108" w:type="dxa"/>
            <w:bottom w:w="0" w:type="dxa"/>
            <w:right w:w="108" w:type="dxa"/>
          </w:tblCellMar>
        </w:tblPrEx>
        <w:trPr>
          <w:cantSplit/>
          <w:tblHeader/>
        </w:trPr>
        <w:tc>
          <w:tcPr>
            <w:tcW w:w="15159" w:type="dxa"/>
            <w:gridSpan w:val="3"/>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tblPrEx>
          <w:tblLayout w:type="fixed"/>
          <w:tblCellMar>
            <w:top w:w="0" w:type="dxa"/>
            <w:left w:w="108" w:type="dxa"/>
            <w:bottom w:w="0" w:type="dxa"/>
            <w:right w:w="108" w:type="dxa"/>
          </w:tblCellMar>
        </w:tblPrEx>
        <w:trPr>
          <w:cantSplit/>
          <w:tblHeader/>
        </w:trPr>
        <w:tc>
          <w:tcPr>
            <w:tcW w:w="10106" w:type="dxa"/>
            <w:gridSpan w:val="2"/>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053"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tblPrEx>
          <w:tblLayout w:type="fixed"/>
          <w:tblCellMar>
            <w:top w:w="0" w:type="dxa"/>
            <w:left w:w="108" w:type="dxa"/>
            <w:bottom w:w="0" w:type="dxa"/>
            <w:right w:w="108" w:type="dxa"/>
          </w:tblCellMar>
        </w:tblPrEx>
        <w:trPr>
          <w:cantSplit/>
          <w:tblHeader/>
        </w:trPr>
        <w:tc>
          <w:tcPr>
            <w:tcW w:w="10106" w:type="dxa"/>
            <w:gridSpan w:val="2"/>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5053"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Layout w:type="fixed"/>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5159" w:type="dxa"/>
            <w:gridSpan w:val="3"/>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tblPrEx>
          <w:tblLayout w:type="fixed"/>
          <w:tblCellMar>
            <w:top w:w="0" w:type="dxa"/>
            <w:left w:w="108" w:type="dxa"/>
            <w:bottom w:w="0" w:type="dxa"/>
            <w:right w:w="108" w:type="dxa"/>
          </w:tblCellMar>
        </w:tblPrEx>
        <w:trPr>
          <w:cantSplit/>
        </w:trPr>
        <w:tc>
          <w:tcPr>
            <w:tcW w:w="15159" w:type="dxa"/>
            <w:gridSpan w:val="3"/>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2.本部门2024年度没有使用一般公共预算财政拨款安排的“三公”经费支出</w:t>
            </w:r>
          </w:p>
        </w:tc>
      </w:tr>
    </w:tbl>
    <w:p>
      <w:pPr>
        <w:sectPr>
          <w:footerReference r:id="rId10"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pStyle w:val="28"/>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八、政府性基金预算财政拨款收入支出决算表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2"/>
        <w:tblW w:w="15159" w:type="dxa"/>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Layout w:type="fixed"/>
          <w:tblCellMar>
            <w:top w:w="0" w:type="dxa"/>
            <w:left w:w="108" w:type="dxa"/>
            <w:bottom w:w="0" w:type="dxa"/>
            <w:right w:w="108" w:type="dxa"/>
          </w:tblCellMar>
        </w:tblPrEx>
        <w:trPr>
          <w:cantSplit/>
          <w:tblHeader/>
        </w:trPr>
        <w:tc>
          <w:tcPr>
            <w:tcW w:w="15159" w:type="dxa"/>
            <w:gridSpan w:val="1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tblPrEx>
          <w:tblLayout w:type="fixed"/>
          <w:tblCellMar>
            <w:top w:w="0" w:type="dxa"/>
            <w:left w:w="108" w:type="dxa"/>
            <w:bottom w:w="0" w:type="dxa"/>
            <w:right w:w="108" w:type="dxa"/>
          </w:tblCellMar>
        </w:tblPrEx>
        <w:trPr>
          <w:cantSplit/>
          <w:tblHeader/>
        </w:trPr>
        <w:tc>
          <w:tcPr>
            <w:tcW w:w="1258" w:type="dxa"/>
            <w:gridSpan w:val="2"/>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29"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tblPrEx>
          <w:tblLayout w:type="fixed"/>
          <w:tblCellMar>
            <w:top w:w="0" w:type="dxa"/>
            <w:left w:w="108" w:type="dxa"/>
            <w:bottom w:w="0" w:type="dxa"/>
            <w:right w:w="108" w:type="dxa"/>
          </w:tblCellMar>
        </w:tblPrEx>
        <w:trPr>
          <w:cantSplit/>
          <w:tblHeader/>
        </w:trPr>
        <w:tc>
          <w:tcPr>
            <w:tcW w:w="9471" w:type="dxa"/>
            <w:gridSpan w:val="7"/>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378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568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tblPrEx>
          <w:tblLayout w:type="fixed"/>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tblPrEx>
          <w:tblLayout w:type="fixed"/>
          <w:tblCellMar>
            <w:top w:w="0" w:type="dxa"/>
            <w:left w:w="108" w:type="dxa"/>
            <w:bottom w:w="0" w:type="dxa"/>
            <w:right w:w="108" w:type="dxa"/>
          </w:tblCellMar>
        </w:tblPrEx>
        <w:trPr>
          <w:cantSplit/>
          <w:tblHeader/>
        </w:trPr>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tblPrEx>
          <w:tblLayout w:type="fixed"/>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2.本部门2024年度没有使用政府性基金预算财政拨款安排的支出</w:t>
            </w:r>
          </w:p>
        </w:tc>
      </w:tr>
    </w:tbl>
    <w:p>
      <w:pPr>
        <w:sectPr>
          <w:footerReference r:id="rId11"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9"/>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九、国有资本经营预算财政拨款支出决算表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2"/>
        <w:tblW w:w="15159" w:type="dxa"/>
        <w:tblInd w:w="20" w:type="dxa"/>
        <w:tblLayout w:type="fixed"/>
        <w:tblCellMar>
          <w:top w:w="0" w:type="dxa"/>
          <w:left w:w="108" w:type="dxa"/>
          <w:bottom w:w="0" w:type="dxa"/>
          <w:right w:w="108" w:type="dxa"/>
        </w:tblCellMar>
      </w:tblPr>
      <w:tblGrid>
        <w:gridCol w:w="3031"/>
        <w:gridCol w:w="3032"/>
        <w:gridCol w:w="3032"/>
        <w:gridCol w:w="3032"/>
        <w:gridCol w:w="3032"/>
      </w:tblGrid>
      <w:tr>
        <w:tblPrEx>
          <w:tblLayout w:type="fixed"/>
          <w:tblCellMar>
            <w:top w:w="0" w:type="dxa"/>
            <w:left w:w="108" w:type="dxa"/>
            <w:bottom w:w="0" w:type="dxa"/>
            <w:right w:w="108" w:type="dxa"/>
          </w:tblCellMar>
        </w:tblPrEx>
        <w:trPr>
          <w:cantSplit/>
          <w:tblHeader/>
        </w:trPr>
        <w:tc>
          <w:tcPr>
            <w:tcW w:w="15159" w:type="dxa"/>
            <w:gridSpan w:val="5"/>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tblPrEx>
          <w:tblLayout w:type="fixed"/>
          <w:tblCellMar>
            <w:top w:w="0" w:type="dxa"/>
            <w:left w:w="108" w:type="dxa"/>
            <w:bottom w:w="0" w:type="dxa"/>
            <w:right w:w="108" w:type="dxa"/>
          </w:tblCellMar>
        </w:tblPrEx>
        <w:trPr>
          <w:cantSplit/>
          <w:tblHeader/>
        </w:trPr>
        <w:tc>
          <w:tcPr>
            <w:tcW w:w="6063" w:type="dxa"/>
            <w:gridSpan w:val="2"/>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tblPrEx>
          <w:tblLayout w:type="fixed"/>
          <w:tblCellMar>
            <w:top w:w="0" w:type="dxa"/>
            <w:left w:w="108" w:type="dxa"/>
            <w:bottom w:w="0" w:type="dxa"/>
            <w:right w:w="108" w:type="dxa"/>
          </w:tblCellMar>
        </w:tblPrEx>
        <w:trPr>
          <w:cantSplit/>
          <w:tblHeader/>
        </w:trPr>
        <w:tc>
          <w:tcPr>
            <w:tcW w:w="12127" w:type="dxa"/>
            <w:gridSpan w:val="4"/>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编制单位：福州市仓山区财政局</w:t>
            </w:r>
          </w:p>
        </w:tc>
        <w:tc>
          <w:tcPr>
            <w:tcW w:w="3032" w:type="dxa"/>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Layout w:type="fixed"/>
          <w:tblCellMar>
            <w:top w:w="0" w:type="dxa"/>
            <w:left w:w="108" w:type="dxa"/>
            <w:bottom w:w="0" w:type="dxa"/>
            <w:right w:w="108" w:type="dxa"/>
          </w:tblCellMar>
        </w:tblPrEx>
        <w:trPr>
          <w:cantSplit/>
          <w:tblHeader/>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9096"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Layout w:type="fixed"/>
          <w:tblCellMar>
            <w:top w:w="0" w:type="dxa"/>
            <w:left w:w="108" w:type="dxa"/>
            <w:bottom w:w="0" w:type="dxa"/>
            <w:right w:w="108" w:type="dxa"/>
          </w:tblCellMar>
        </w:tblPrEx>
        <w:trPr>
          <w:cantSplit/>
          <w:tblHeader/>
        </w:trPr>
        <w:tc>
          <w:tcPr>
            <w:tcW w:w="3031"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Layout w:type="fixed"/>
          <w:tblCellMar>
            <w:top w:w="0" w:type="dxa"/>
            <w:left w:w="108" w:type="dxa"/>
            <w:bottom w:w="0" w:type="dxa"/>
            <w:right w:w="108" w:type="dxa"/>
          </w:tblCellMar>
        </w:tblPrEx>
        <w:trPr>
          <w:cantSplit/>
          <w:tblHeader/>
        </w:trPr>
        <w:tc>
          <w:tcPr>
            <w:tcW w:w="303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blHeader/>
        </w:trPr>
        <w:tc>
          <w:tcPr>
            <w:tcW w:w="303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0" w:type="dxa"/>
            <w:left w:w="108" w:type="dxa"/>
            <w:bottom w:w="0" w:type="dxa"/>
            <w:right w:w="108" w:type="dxa"/>
          </w:tblCellMar>
        </w:tblPrEx>
        <w:trPr>
          <w:cantSplit/>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tblPrEx>
          <w:tblLayout w:type="fixed"/>
          <w:tblCellMar>
            <w:top w:w="0" w:type="dxa"/>
            <w:left w:w="108" w:type="dxa"/>
            <w:bottom w:w="0" w:type="dxa"/>
            <w:right w:w="108" w:type="dxa"/>
          </w:tblCellMar>
        </w:tblPrEx>
        <w:trPr>
          <w:cantSplit/>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Layout w:type="fixed"/>
          <w:tblCellMar>
            <w:top w:w="0" w:type="dxa"/>
            <w:left w:w="108" w:type="dxa"/>
            <w:bottom w:w="0" w:type="dxa"/>
            <w:right w:w="108" w:type="dxa"/>
          </w:tblCellMar>
        </w:tblPrEx>
        <w:trPr>
          <w:cantSplit/>
        </w:trPr>
        <w:tc>
          <w:tcPr>
            <w:tcW w:w="303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Layout w:type="fixed"/>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tblPrEx>
          <w:tblLayout w:type="fixed"/>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pPr>
        <w:sectPr>
          <w:footerReference r:id="rId12" w:type="default"/>
          <w:pgSz w:w="16383" w:h="11906" w:orient="landscape"/>
          <w:pgMar w:top="1134" w:right="720" w:bottom="1134" w:left="720" w:header="720" w:footer="720" w:gutter="0"/>
          <w:pgBorders>
            <w:top w:val="none" w:color="auto" w:sz="0" w:space="0"/>
            <w:left w:val="none" w:color="auto" w:sz="0" w:space="0"/>
            <w:bottom w:val="none" w:color="auto" w:sz="0" w:space="0"/>
            <w:right w:val="none" w:color="auto" w:sz="0" w:space="0"/>
          </w:pgBorders>
          <w:pgNumType w:fmt="decimal"/>
          <w:cols w:space="720" w:num="1"/>
        </w:sectPr>
      </w:pPr>
    </w:p>
    <w:p>
      <w:pPr>
        <w:pStyle w:val="29"/>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第三部分</w:t>
      </w:r>
      <w:r>
        <w:rPr>
          <w:rFonts w:ascii="宋体" w:hAnsi="宋体" w:cs="宋体"/>
          <w:spacing w:val="0"/>
          <w:kern w:val="0"/>
          <w:sz w:val="56"/>
          <w:szCs w:val="56"/>
        </w:rPr>
        <w:t> </w:t>
      </w:r>
    </w:p>
    <w:p>
      <w:pPr>
        <w:pStyle w:val="28"/>
        <w:widowControl/>
        <w:spacing w:before="100" w:after="100" w:line="600" w:lineRule="atLeast"/>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56"/>
          <w:szCs w:val="56"/>
        </w:rPr>
        <w:t>2024年度部门决算情况说明</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一、收入支出决算总体情况说明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（一）收入支出决算总体情况说明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2024年度本部门收入总计</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万元，支出总计</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万元，与上年决算数相比，各</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356.43</w:t>
      </w:r>
      <w:r>
        <w:rPr>
          <w:rFonts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29.40</w:t>
      </w:r>
      <w:r>
        <w:rPr>
          <w:rFonts w:ascii="仿宋" w:hAnsi="仿宋" w:eastAsia="仿宋" w:cs="仿宋"/>
          <w:spacing w:val="0"/>
          <w:kern w:val="0"/>
          <w:sz w:val="32"/>
          <w:szCs w:val="32"/>
        </w:rPr>
        <w:t>%。主要是</w:t>
      </w:r>
      <w:r>
        <w:rPr>
          <w:rFonts w:hint="eastAsia" w:ascii="仿宋" w:hAnsi="仿宋" w:eastAsia="仿宋" w:cs="仿宋"/>
          <w:spacing w:val="0"/>
          <w:kern w:val="0"/>
          <w:sz w:val="32"/>
          <w:szCs w:val="32"/>
        </w:rPr>
        <w:t>单位响应节能降耗政策，缩减了行政管理支出</w:t>
      </w:r>
      <w:r>
        <w:rPr>
          <w:rFonts w:ascii="仿宋" w:hAnsi="仿宋" w:eastAsia="仿宋" w:cs="仿宋"/>
          <w:spacing w:val="0"/>
          <w:kern w:val="0"/>
          <w:sz w:val="32"/>
          <w:szCs w:val="32"/>
        </w:rPr>
        <w:t>。</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2024年度收入</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万元，比上年决算数减少</w:t>
      </w:r>
      <w:r>
        <w:rPr>
          <w:rFonts w:hint="eastAsia" w:ascii="仿宋" w:hAnsi="仿宋" w:eastAsia="仿宋" w:cs="仿宋"/>
          <w:spacing w:val="0"/>
          <w:kern w:val="0"/>
          <w:sz w:val="32"/>
          <w:szCs w:val="32"/>
        </w:rPr>
        <w:t>356.43万元，下降29.40%</w:t>
      </w:r>
      <w:r>
        <w:rPr>
          <w:rFonts w:ascii="仿宋" w:hAnsi="仿宋" w:eastAsia="仿宋" w:cs="仿宋"/>
          <w:spacing w:val="0"/>
          <w:kern w:val="0"/>
          <w:sz w:val="32"/>
          <w:szCs w:val="32"/>
        </w:rPr>
        <w:t>，具体情况如下：</w:t>
      </w:r>
    </w:p>
    <w:p>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1.一般公共预算财政拨款收入</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w:t>
      </w:r>
    </w:p>
    <w:p>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2.政府性基金预算财政拨款收入0万元。</w:t>
      </w:r>
    </w:p>
    <w:p>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3.国有资本经营预算财政拨款收入0万元。</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4.上级补助收入0万元。</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5.事业收入0万元。</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6.经营收入0万元。</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7.附属单位上缴收入0万元。</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8.其他收入0万元。</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2024年度支出</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万元，比上年决算数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rPr>
        <w:t>356.43万元，下降29.40%</w:t>
      </w:r>
      <w:r>
        <w:rPr>
          <w:rFonts w:ascii="仿宋" w:hAnsi="仿宋" w:eastAsia="仿宋" w:cs="仿宋"/>
          <w:spacing w:val="0"/>
          <w:kern w:val="0"/>
          <w:sz w:val="32"/>
          <w:szCs w:val="32"/>
        </w:rPr>
        <w:t>，具体情况如下：</w:t>
      </w:r>
    </w:p>
    <w:p>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1.基本支出</w:t>
      </w:r>
      <w:r>
        <w:rPr>
          <w:rFonts w:hint="eastAsia" w:ascii="仿宋" w:hAnsi="仿宋" w:eastAsia="仿宋" w:cs="仿宋"/>
          <w:spacing w:val="0"/>
          <w:kern w:val="0"/>
          <w:sz w:val="32"/>
          <w:szCs w:val="32"/>
          <w:lang w:val="en-US" w:eastAsia="zh-CN"/>
        </w:rPr>
        <w:t>701.78</w:t>
      </w:r>
      <w:r>
        <w:rPr>
          <w:rFonts w:ascii="仿宋" w:hAnsi="仿宋" w:eastAsia="仿宋" w:cs="仿宋"/>
          <w:spacing w:val="0"/>
          <w:kern w:val="0"/>
          <w:sz w:val="32"/>
          <w:szCs w:val="32"/>
        </w:rPr>
        <w:t>万元。其中，人员支出</w:t>
      </w:r>
      <w:r>
        <w:rPr>
          <w:rFonts w:hint="eastAsia" w:ascii="仿宋" w:hAnsi="仿宋" w:eastAsia="仿宋" w:cs="仿宋"/>
          <w:spacing w:val="0"/>
          <w:kern w:val="0"/>
          <w:sz w:val="32"/>
          <w:szCs w:val="32"/>
          <w:lang w:val="en-US" w:eastAsia="zh-CN"/>
        </w:rPr>
        <w:t>651.2</w:t>
      </w:r>
      <w:r>
        <w:rPr>
          <w:rFonts w:ascii="仿宋" w:hAnsi="仿宋" w:eastAsia="仿宋" w:cs="仿宋"/>
          <w:spacing w:val="0"/>
          <w:kern w:val="0"/>
          <w:sz w:val="32"/>
          <w:szCs w:val="32"/>
        </w:rPr>
        <w:t>万元，公用支出</w:t>
      </w:r>
      <w:r>
        <w:rPr>
          <w:rFonts w:hint="eastAsia" w:ascii="仿宋" w:hAnsi="仿宋" w:eastAsia="仿宋" w:cs="仿宋"/>
          <w:spacing w:val="0"/>
          <w:kern w:val="0"/>
          <w:sz w:val="32"/>
          <w:szCs w:val="32"/>
          <w:lang w:val="en-US" w:eastAsia="zh-CN"/>
        </w:rPr>
        <w:t>50.58</w:t>
      </w:r>
      <w:r>
        <w:rPr>
          <w:rFonts w:ascii="仿宋" w:hAnsi="仿宋" w:eastAsia="仿宋" w:cs="仿宋"/>
          <w:spacing w:val="0"/>
          <w:kern w:val="0"/>
          <w:sz w:val="32"/>
          <w:szCs w:val="32"/>
        </w:rPr>
        <w:t>万元。</w:t>
      </w:r>
    </w:p>
    <w:p>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2.项目支出</w:t>
      </w:r>
      <w:r>
        <w:rPr>
          <w:rFonts w:hint="eastAsia" w:ascii="仿宋" w:hAnsi="仿宋" w:eastAsia="仿宋" w:cs="仿宋"/>
          <w:spacing w:val="0"/>
          <w:kern w:val="0"/>
          <w:sz w:val="32"/>
          <w:szCs w:val="32"/>
          <w:lang w:val="en-US" w:eastAsia="zh-CN"/>
        </w:rPr>
        <w:t>154.15</w:t>
      </w:r>
      <w:r>
        <w:rPr>
          <w:rFonts w:ascii="仿宋" w:hAnsi="仿宋" w:eastAsia="仿宋" w:cs="仿宋"/>
          <w:spacing w:val="0"/>
          <w:kern w:val="0"/>
          <w:sz w:val="32"/>
          <w:szCs w:val="32"/>
        </w:rPr>
        <w:t>万元。</w:t>
      </w:r>
    </w:p>
    <w:p>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3.上缴上级支出0万元。</w:t>
      </w:r>
    </w:p>
    <w:p>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4.经营支出0万元。</w:t>
      </w:r>
    </w:p>
    <w:p>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5.对附属单位补助支出0万元。</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二、财政拨款收入支出决算总体情况说明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2024年度财政拨款收入总计</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万元，支出总计</w:t>
      </w:r>
      <w:r>
        <w:rPr>
          <w:rFonts w:hint="eastAsia" w:ascii="仿宋" w:hAnsi="仿宋" w:eastAsia="仿宋" w:cs="仿宋"/>
          <w:spacing w:val="0"/>
          <w:kern w:val="0"/>
          <w:sz w:val="32"/>
          <w:szCs w:val="32"/>
          <w:lang w:val="en-US" w:eastAsia="zh-CN"/>
        </w:rPr>
        <w:t>855.93</w:t>
      </w:r>
      <w:r>
        <w:rPr>
          <w:rFonts w:ascii="仿宋" w:hAnsi="仿宋" w:eastAsia="仿宋" w:cs="仿宋"/>
          <w:spacing w:val="0"/>
          <w:kern w:val="0"/>
          <w:sz w:val="32"/>
          <w:szCs w:val="32"/>
        </w:rPr>
        <w:t>万元，与上年决算数相比，</w:t>
      </w:r>
      <w:r>
        <w:rPr>
          <w:rFonts w:hint="eastAsia" w:ascii="仿宋" w:hAnsi="仿宋" w:eastAsia="仿宋" w:cs="仿宋"/>
          <w:spacing w:val="0"/>
          <w:kern w:val="0"/>
          <w:sz w:val="32"/>
          <w:szCs w:val="32"/>
        </w:rPr>
        <w:t>减少356.43万元，下降29.40%</w:t>
      </w:r>
      <w:r>
        <w:rPr>
          <w:rFonts w:ascii="仿宋" w:hAnsi="仿宋" w:eastAsia="仿宋" w:cs="仿宋"/>
          <w:spacing w:val="0"/>
          <w:kern w:val="0"/>
          <w:sz w:val="32"/>
          <w:szCs w:val="32"/>
        </w:rPr>
        <w:t>，主要是：</w:t>
      </w:r>
      <w:r>
        <w:rPr>
          <w:rFonts w:hint="eastAsia" w:ascii="仿宋" w:hAnsi="仿宋" w:eastAsia="仿宋" w:cs="仿宋"/>
          <w:spacing w:val="0"/>
          <w:kern w:val="0"/>
          <w:sz w:val="32"/>
          <w:szCs w:val="32"/>
        </w:rPr>
        <w:t>单位响应节能降耗政策，缩减了行政管理支出</w:t>
      </w:r>
      <w:r>
        <w:rPr>
          <w:rFonts w:ascii="仿宋" w:hAnsi="仿宋" w:eastAsia="仿宋" w:cs="仿宋"/>
          <w:spacing w:val="0"/>
          <w:kern w:val="0"/>
          <w:sz w:val="32"/>
          <w:szCs w:val="32"/>
        </w:rPr>
        <w:t>。</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三、一般公共预算财政拨款支出决算情况说明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2024年一般公共预算支出</w:t>
      </w:r>
      <w:r>
        <w:rPr>
          <w:rFonts w:hint="eastAsia" w:ascii="仿宋" w:hAnsi="仿宋" w:eastAsia="仿宋" w:cs="仿宋"/>
          <w:spacing w:val="0"/>
          <w:kern w:val="0"/>
          <w:sz w:val="32"/>
          <w:szCs w:val="32"/>
        </w:rPr>
        <w:t>855.93</w:t>
      </w:r>
      <w:r>
        <w:rPr>
          <w:rFonts w:ascii="仿宋" w:hAnsi="仿宋" w:eastAsia="仿宋" w:cs="仿宋"/>
          <w:spacing w:val="0"/>
          <w:kern w:val="0"/>
          <w:sz w:val="32"/>
          <w:szCs w:val="32"/>
        </w:rPr>
        <w:t>万元，比上年决算数</w:t>
      </w:r>
      <w:r>
        <w:rPr>
          <w:rFonts w:hint="eastAsia" w:ascii="仿宋" w:hAnsi="仿宋" w:eastAsia="仿宋" w:cs="仿宋"/>
          <w:spacing w:val="0"/>
          <w:kern w:val="0"/>
          <w:sz w:val="32"/>
          <w:szCs w:val="32"/>
        </w:rPr>
        <w:t>减少356.43万元，下降29.40%</w:t>
      </w:r>
      <w:r>
        <w:rPr>
          <w:rFonts w:ascii="仿宋" w:hAnsi="仿宋" w:eastAsia="仿宋" w:cs="仿宋"/>
          <w:spacing w:val="0"/>
          <w:kern w:val="0"/>
          <w:sz w:val="32"/>
          <w:szCs w:val="32"/>
        </w:rPr>
        <w:t>，具体情况如下(按项级科目分类统计)：</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（一）2010601-行政运行（财政事务）</w:t>
      </w:r>
      <w:r>
        <w:rPr>
          <w:rFonts w:hint="eastAsia" w:ascii="仿宋" w:hAnsi="仿宋" w:eastAsia="仿宋" w:cs="仿宋"/>
          <w:spacing w:val="0"/>
          <w:kern w:val="0"/>
          <w:sz w:val="32"/>
          <w:szCs w:val="32"/>
          <w:lang w:val="en-US" w:eastAsia="zh-CN"/>
        </w:rPr>
        <w:t>283.06</w:t>
      </w:r>
      <w:r>
        <w:rPr>
          <w:rFonts w:hint="eastAsia" w:ascii="仿宋" w:hAnsi="仿宋" w:eastAsia="仿宋" w:cs="仿宋"/>
          <w:spacing w:val="0"/>
          <w:kern w:val="0"/>
          <w:sz w:val="32"/>
          <w:szCs w:val="32"/>
        </w:rPr>
        <w:t>万元。较上年决算数减少</w:t>
      </w:r>
      <w:r>
        <w:rPr>
          <w:rFonts w:hint="eastAsia" w:ascii="仿宋" w:hAnsi="仿宋" w:eastAsia="仿宋" w:cs="仿宋"/>
          <w:spacing w:val="0"/>
          <w:kern w:val="0"/>
          <w:sz w:val="32"/>
          <w:szCs w:val="32"/>
          <w:lang w:val="en-US" w:eastAsia="zh-CN"/>
        </w:rPr>
        <w:t>25.26</w:t>
      </w:r>
      <w:r>
        <w:rPr>
          <w:rFonts w:hint="eastAsia"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8.19</w:t>
      </w:r>
      <w:r>
        <w:rPr>
          <w:rFonts w:hint="eastAsia" w:ascii="仿宋" w:hAnsi="仿宋" w:eastAsia="仿宋" w:cs="仿宋"/>
          <w:spacing w:val="0"/>
          <w:kern w:val="0"/>
          <w:sz w:val="32"/>
          <w:szCs w:val="32"/>
        </w:rPr>
        <w:t>%。主要原因是单位响应节能降耗政策，缩减了行政管理支出。</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（二）2010602-一般行政管理事务（财政事务）</w:t>
      </w:r>
      <w:r>
        <w:rPr>
          <w:rFonts w:hint="eastAsia" w:ascii="仿宋" w:hAnsi="仿宋" w:eastAsia="仿宋" w:cs="仿宋"/>
          <w:spacing w:val="0"/>
          <w:kern w:val="0"/>
          <w:sz w:val="32"/>
          <w:szCs w:val="32"/>
          <w:lang w:val="en-US" w:eastAsia="zh-CN"/>
        </w:rPr>
        <w:t>82.38</w:t>
      </w:r>
      <w:r>
        <w:rPr>
          <w:rFonts w:hint="eastAsia" w:ascii="仿宋" w:hAnsi="仿宋" w:eastAsia="仿宋" w:cs="仿宋"/>
          <w:spacing w:val="0"/>
          <w:kern w:val="0"/>
          <w:sz w:val="32"/>
          <w:szCs w:val="32"/>
        </w:rPr>
        <w:t>万元。较上年决算数减少</w:t>
      </w:r>
      <w:r>
        <w:rPr>
          <w:rFonts w:hint="eastAsia" w:ascii="仿宋" w:hAnsi="仿宋" w:eastAsia="仿宋" w:cs="仿宋"/>
          <w:spacing w:val="0"/>
          <w:kern w:val="0"/>
          <w:sz w:val="32"/>
          <w:szCs w:val="32"/>
          <w:lang w:val="en-US" w:eastAsia="zh-CN"/>
        </w:rPr>
        <w:t>2.98</w:t>
      </w:r>
      <w:r>
        <w:rPr>
          <w:rFonts w:hint="eastAsia"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3.49</w:t>
      </w:r>
      <w:r>
        <w:rPr>
          <w:rFonts w:hint="eastAsia" w:ascii="仿宋" w:hAnsi="仿宋" w:eastAsia="仿宋" w:cs="仿宋"/>
          <w:spacing w:val="0"/>
          <w:kern w:val="0"/>
          <w:sz w:val="32"/>
          <w:szCs w:val="32"/>
        </w:rPr>
        <w:t>%</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主要原因是单位响应节能降耗政策，缩减了行政管理支出。</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（三）2010650-事业运行（财政事务）</w:t>
      </w:r>
      <w:r>
        <w:rPr>
          <w:rFonts w:hint="eastAsia" w:ascii="仿宋" w:hAnsi="仿宋" w:eastAsia="仿宋" w:cs="仿宋"/>
          <w:spacing w:val="0"/>
          <w:kern w:val="0"/>
          <w:sz w:val="32"/>
          <w:szCs w:val="32"/>
          <w:lang w:val="en-US" w:eastAsia="zh-CN"/>
        </w:rPr>
        <w:t>404.10</w:t>
      </w:r>
      <w:r>
        <w:rPr>
          <w:rFonts w:hint="eastAsia" w:ascii="仿宋" w:hAnsi="仿宋" w:eastAsia="仿宋" w:cs="仿宋"/>
          <w:spacing w:val="0"/>
          <w:kern w:val="0"/>
          <w:sz w:val="32"/>
          <w:szCs w:val="32"/>
        </w:rPr>
        <w:t>万元。较上年决算数减少</w:t>
      </w:r>
      <w:r>
        <w:rPr>
          <w:rFonts w:hint="eastAsia" w:ascii="仿宋" w:hAnsi="仿宋" w:eastAsia="仿宋" w:cs="仿宋"/>
          <w:spacing w:val="0"/>
          <w:kern w:val="0"/>
          <w:sz w:val="32"/>
          <w:szCs w:val="32"/>
          <w:lang w:val="en-US" w:eastAsia="zh-CN"/>
        </w:rPr>
        <w:t>15.31</w:t>
      </w:r>
      <w:r>
        <w:rPr>
          <w:rFonts w:hint="eastAsia"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3.65</w:t>
      </w:r>
      <w:r>
        <w:rPr>
          <w:rFonts w:hint="eastAsia" w:ascii="仿宋" w:hAnsi="仿宋" w:eastAsia="仿宋" w:cs="仿宋"/>
          <w:spacing w:val="0"/>
          <w:kern w:val="0"/>
          <w:sz w:val="32"/>
          <w:szCs w:val="32"/>
        </w:rPr>
        <w:t>%</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主要</w:t>
      </w:r>
      <w:r>
        <w:rPr>
          <w:rFonts w:hint="eastAsia" w:ascii="仿宋" w:hAnsi="仿宋" w:eastAsia="仿宋" w:cs="仿宋"/>
          <w:spacing w:val="0"/>
          <w:kern w:val="0"/>
          <w:sz w:val="32"/>
          <w:szCs w:val="32"/>
          <w:lang w:eastAsia="zh-CN"/>
        </w:rPr>
        <w:t>原因是</w:t>
      </w:r>
      <w:r>
        <w:rPr>
          <w:rFonts w:hint="eastAsia" w:ascii="仿宋" w:hAnsi="仿宋" w:eastAsia="仿宋" w:cs="仿宋"/>
          <w:spacing w:val="0"/>
          <w:kern w:val="0"/>
          <w:sz w:val="32"/>
          <w:szCs w:val="32"/>
        </w:rPr>
        <w:t>国库支付中心及财政投资评审中心单位响应节能降耗政策</w:t>
      </w:r>
      <w:r>
        <w:rPr>
          <w:rFonts w:hint="eastAsia" w:ascii="仿宋" w:hAnsi="仿宋" w:eastAsia="仿宋" w:cs="仿宋"/>
          <w:spacing w:val="0"/>
          <w:kern w:val="0"/>
          <w:sz w:val="32"/>
          <w:szCs w:val="32"/>
          <w:lang w:eastAsia="zh-CN"/>
        </w:rPr>
        <w:t>，缩减</w:t>
      </w:r>
      <w:r>
        <w:rPr>
          <w:rFonts w:hint="eastAsia" w:ascii="仿宋" w:hAnsi="仿宋" w:eastAsia="仿宋" w:cs="仿宋"/>
          <w:spacing w:val="0"/>
          <w:kern w:val="0"/>
          <w:sz w:val="32"/>
          <w:szCs w:val="32"/>
        </w:rPr>
        <w:t>日常支出。</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（四）2210201-住房公积金支出</w:t>
      </w:r>
      <w:r>
        <w:rPr>
          <w:rFonts w:hint="eastAsia" w:ascii="仿宋" w:hAnsi="仿宋" w:eastAsia="仿宋" w:cs="仿宋"/>
          <w:spacing w:val="0"/>
          <w:kern w:val="0"/>
          <w:sz w:val="32"/>
          <w:szCs w:val="32"/>
          <w:lang w:val="en-US" w:eastAsia="zh-CN"/>
        </w:rPr>
        <w:t>44.79</w:t>
      </w:r>
      <w:r>
        <w:rPr>
          <w:rFonts w:hint="eastAsia"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较上年决算数减少</w:t>
      </w:r>
      <w:r>
        <w:rPr>
          <w:rFonts w:hint="eastAsia" w:ascii="仿宋" w:hAnsi="仿宋" w:eastAsia="仿宋" w:cs="仿宋"/>
          <w:spacing w:val="0"/>
          <w:kern w:val="0"/>
          <w:sz w:val="32"/>
          <w:szCs w:val="32"/>
          <w:lang w:val="en-US" w:eastAsia="zh-CN"/>
        </w:rPr>
        <w:t>4.19</w:t>
      </w:r>
      <w:r>
        <w:rPr>
          <w:rFonts w:hint="eastAsia"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8.55</w:t>
      </w:r>
      <w:r>
        <w:rPr>
          <w:rFonts w:hint="eastAsia" w:ascii="仿宋" w:hAnsi="仿宋" w:eastAsia="仿宋" w:cs="仿宋"/>
          <w:spacing w:val="0"/>
          <w:kern w:val="0"/>
          <w:sz w:val="32"/>
          <w:szCs w:val="32"/>
        </w:rPr>
        <w:t>%。主要原因是24年度较23年度人员减少。</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（五）2210202-提租补贴支出</w:t>
      </w:r>
      <w:r>
        <w:rPr>
          <w:rFonts w:hint="eastAsia" w:ascii="仿宋" w:hAnsi="仿宋" w:eastAsia="仿宋" w:cs="仿宋"/>
          <w:spacing w:val="0"/>
          <w:kern w:val="0"/>
          <w:sz w:val="32"/>
          <w:szCs w:val="32"/>
          <w:lang w:val="en-US" w:eastAsia="zh-CN"/>
        </w:rPr>
        <w:t>8.54</w:t>
      </w:r>
      <w:r>
        <w:rPr>
          <w:rFonts w:hint="eastAsia" w:ascii="仿宋" w:hAnsi="仿宋" w:eastAsia="仿宋" w:cs="仿宋"/>
          <w:spacing w:val="0"/>
          <w:kern w:val="0"/>
          <w:sz w:val="32"/>
          <w:szCs w:val="32"/>
        </w:rPr>
        <w:t>万元，较上年决算数减少</w:t>
      </w:r>
      <w:r>
        <w:rPr>
          <w:rFonts w:hint="eastAsia" w:ascii="仿宋" w:hAnsi="仿宋" w:eastAsia="仿宋" w:cs="仿宋"/>
          <w:spacing w:val="0"/>
          <w:kern w:val="0"/>
          <w:sz w:val="32"/>
          <w:szCs w:val="32"/>
          <w:lang w:val="en-US" w:eastAsia="zh-CN"/>
        </w:rPr>
        <w:t>0.89</w:t>
      </w:r>
      <w:r>
        <w:rPr>
          <w:rFonts w:hint="eastAsia"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9.44</w:t>
      </w:r>
      <w:r>
        <w:rPr>
          <w:rFonts w:hint="eastAsia" w:ascii="仿宋" w:hAnsi="仿宋" w:eastAsia="仿宋" w:cs="仿宋"/>
          <w:spacing w:val="0"/>
          <w:kern w:val="0"/>
          <w:sz w:val="32"/>
          <w:szCs w:val="32"/>
        </w:rPr>
        <w:t>%。主要原因是24年度较23年度人员减少。</w:t>
      </w:r>
    </w:p>
    <w:p>
      <w:pPr>
        <w:pStyle w:val="28"/>
        <w:widowControl/>
        <w:spacing w:before="100" w:after="100" w:line="600" w:lineRule="atLeast"/>
        <w:ind w:left="0" w:right="0" w:firstLine="64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（六）2210203-购房补贴支出</w:t>
      </w:r>
      <w:r>
        <w:rPr>
          <w:rFonts w:hint="eastAsia" w:ascii="仿宋" w:hAnsi="仿宋" w:eastAsia="仿宋" w:cs="仿宋"/>
          <w:spacing w:val="0"/>
          <w:kern w:val="0"/>
          <w:sz w:val="32"/>
          <w:szCs w:val="32"/>
          <w:lang w:val="en-US" w:eastAsia="zh-CN"/>
        </w:rPr>
        <w:t>33.05</w:t>
      </w:r>
      <w:r>
        <w:rPr>
          <w:rFonts w:hint="eastAsia"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较上年决算增</w:t>
      </w:r>
      <w:r>
        <w:rPr>
          <w:rFonts w:hint="eastAsia" w:ascii="仿宋" w:hAnsi="仿宋" w:eastAsia="仿宋" w:cs="仿宋"/>
          <w:spacing w:val="0"/>
          <w:kern w:val="0"/>
          <w:sz w:val="32"/>
          <w:szCs w:val="32"/>
          <w:lang w:eastAsia="zh-CN"/>
        </w:rPr>
        <w:t>加</w:t>
      </w:r>
      <w:r>
        <w:rPr>
          <w:rFonts w:hint="eastAsia" w:ascii="仿宋" w:hAnsi="仿宋" w:eastAsia="仿宋" w:cs="仿宋"/>
          <w:spacing w:val="0"/>
          <w:kern w:val="0"/>
          <w:sz w:val="32"/>
          <w:szCs w:val="32"/>
          <w:lang w:val="en-US" w:eastAsia="zh-CN"/>
        </w:rPr>
        <w:t>2.19</w:t>
      </w:r>
      <w:r>
        <w:rPr>
          <w:rFonts w:hint="eastAsia"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7.10</w:t>
      </w:r>
      <w:r>
        <w:rPr>
          <w:rFonts w:hint="eastAsia" w:ascii="仿宋" w:hAnsi="仿宋" w:eastAsia="仿宋" w:cs="仿宋"/>
          <w:spacing w:val="0"/>
          <w:kern w:val="0"/>
          <w:sz w:val="32"/>
          <w:szCs w:val="32"/>
        </w:rPr>
        <w:t>%，主要原因是24年度</w:t>
      </w:r>
      <w:r>
        <w:rPr>
          <w:rFonts w:hint="eastAsia" w:ascii="仿宋" w:hAnsi="仿宋" w:eastAsia="仿宋" w:cs="仿宋"/>
          <w:spacing w:val="0"/>
          <w:kern w:val="0"/>
          <w:sz w:val="32"/>
          <w:szCs w:val="32"/>
          <w:lang w:eastAsia="zh-CN"/>
        </w:rPr>
        <w:t>财政下属两个中心均有</w:t>
      </w:r>
      <w:r>
        <w:rPr>
          <w:rFonts w:hint="eastAsia" w:ascii="仿宋" w:hAnsi="仿宋" w:eastAsia="仿宋" w:cs="仿宋"/>
          <w:spacing w:val="0"/>
          <w:kern w:val="0"/>
          <w:sz w:val="32"/>
          <w:szCs w:val="32"/>
        </w:rPr>
        <w:t>工作人员补发往年购房补贴。</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四、政府性基金预算财政拨款支出决算情况说明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hint="eastAsia" w:ascii="仿宋" w:hAnsi="仿宋" w:eastAsia="仿宋" w:cs="仿宋"/>
          <w:spacing w:val="0"/>
          <w:kern w:val="0"/>
          <w:sz w:val="32"/>
          <w:szCs w:val="32"/>
        </w:rPr>
        <w:t>本部门2024年度没有使用政府性基金预算拨款安排的支出。</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五、国有资本经营预算财政拨款支出决算情况说明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hint="eastAsia" w:ascii="仿宋" w:hAnsi="仿宋" w:eastAsia="仿宋" w:cs="仿宋"/>
          <w:spacing w:val="0"/>
          <w:kern w:val="0"/>
          <w:sz w:val="32"/>
          <w:szCs w:val="32"/>
        </w:rPr>
        <w:t>本部门2024年度没有使用国有资本经营预算财政拨款安排的支出。</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六、一般公共预算财政拨款基本支出决算情况说明</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2024年度一般公共预算财政拨款基本支出</w:t>
      </w:r>
      <w:r>
        <w:rPr>
          <w:rFonts w:hint="eastAsia" w:ascii="仿宋" w:hAnsi="仿宋" w:eastAsia="仿宋" w:cs="仿宋"/>
          <w:spacing w:val="0"/>
          <w:kern w:val="0"/>
          <w:sz w:val="32"/>
          <w:szCs w:val="32"/>
          <w:lang w:val="en-US" w:eastAsia="zh-CN"/>
        </w:rPr>
        <w:t>701.78</w:t>
      </w:r>
      <w:r>
        <w:rPr>
          <w:rFonts w:ascii="仿宋" w:hAnsi="仿宋" w:eastAsia="仿宋" w:cs="仿宋"/>
          <w:spacing w:val="0"/>
          <w:kern w:val="0"/>
          <w:sz w:val="32"/>
          <w:szCs w:val="32"/>
        </w:rPr>
        <w:t>万元，其中：</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（一）人员经费</w:t>
      </w:r>
      <w:r>
        <w:rPr>
          <w:rFonts w:hint="eastAsia" w:ascii="仿宋" w:hAnsi="仿宋" w:eastAsia="仿宋" w:cs="仿宋"/>
          <w:spacing w:val="0"/>
          <w:kern w:val="0"/>
          <w:sz w:val="32"/>
          <w:szCs w:val="32"/>
          <w:lang w:val="en-US" w:eastAsia="zh-CN"/>
        </w:rPr>
        <w:t>651.20</w:t>
      </w:r>
      <w:r>
        <w:rPr>
          <w:rFonts w:ascii="仿宋" w:hAnsi="仿宋" w:eastAsia="仿宋" w:cs="仿宋"/>
          <w:spacing w:val="0"/>
          <w:kern w:val="0"/>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28"/>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（二）公用经费</w:t>
      </w:r>
      <w:r>
        <w:rPr>
          <w:rFonts w:hint="eastAsia" w:ascii="仿宋" w:hAnsi="仿宋" w:eastAsia="仿宋" w:cs="仿宋"/>
          <w:spacing w:val="0"/>
          <w:kern w:val="0"/>
          <w:sz w:val="32"/>
          <w:szCs w:val="32"/>
          <w:lang w:val="en-US" w:eastAsia="zh-CN"/>
        </w:rPr>
        <w:t>50.58</w:t>
      </w:r>
      <w:r>
        <w:rPr>
          <w:rFonts w:ascii="仿宋" w:hAnsi="仿宋" w:eastAsia="仿宋" w:cs="仿宋"/>
          <w:spacing w:val="0"/>
          <w:kern w:val="0"/>
          <w:sz w:val="32"/>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七、一般公共预算拨款“三公”经费支出决算情况说明</w:t>
      </w:r>
    </w:p>
    <w:p>
      <w:pPr>
        <w:pStyle w:val="28"/>
        <w:widowControl/>
        <w:spacing w:before="100" w:after="100" w:line="600" w:lineRule="atLeast"/>
        <w:ind w:left="0" w:right="0" w:firstLine="645"/>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本年无一般公共预算拨款“三公”经费支出。具体情况如下：</w:t>
      </w:r>
    </w:p>
    <w:p>
      <w:pPr>
        <w:pStyle w:val="28"/>
        <w:widowControl/>
        <w:spacing w:before="100" w:after="100" w:line="600" w:lineRule="atLeast"/>
        <w:ind w:left="0" w:right="0" w:firstLine="645"/>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（一）本年无因公出国（境）费支出。</w:t>
      </w:r>
    </w:p>
    <w:p>
      <w:pPr>
        <w:pStyle w:val="28"/>
        <w:widowControl/>
        <w:spacing w:before="100" w:after="100" w:line="600" w:lineRule="atLeast"/>
        <w:ind w:left="0" w:right="0" w:firstLine="645"/>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（二）本年无公务用车购置及运行费支出。</w:t>
      </w:r>
    </w:p>
    <w:p>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hint="eastAsia" w:ascii="仿宋" w:hAnsi="仿宋" w:eastAsia="仿宋" w:cs="仿宋"/>
          <w:spacing w:val="0"/>
          <w:kern w:val="0"/>
          <w:sz w:val="32"/>
          <w:szCs w:val="32"/>
        </w:rPr>
        <w:t>（三）本年无公务接待费支出。</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八、预算绩效情况说明</w:t>
      </w:r>
    </w:p>
    <w:p>
      <w:pPr>
        <w:pStyle w:val="28"/>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根据全面实施预算绩效管理要求，本部门组织对2024年度</w:t>
      </w:r>
      <w:r>
        <w:rPr>
          <w:rFonts w:hint="eastAsia" w:ascii="仿宋" w:hAnsi="仿宋" w:eastAsia="仿宋" w:cs="仿宋"/>
          <w:spacing w:val="0"/>
          <w:kern w:val="0"/>
          <w:sz w:val="32"/>
          <w:szCs w:val="32"/>
          <w:lang w:val="en-US" w:eastAsia="zh-CN"/>
        </w:rPr>
        <w:t>8</w:t>
      </w:r>
      <w:r>
        <w:rPr>
          <w:rFonts w:ascii="仿宋" w:hAnsi="仿宋" w:eastAsia="仿宋" w:cs="仿宋"/>
          <w:spacing w:val="0"/>
          <w:kern w:val="0"/>
          <w:sz w:val="32"/>
          <w:szCs w:val="32"/>
        </w:rPr>
        <w:t>个项目实施单位自评。</w:t>
      </w:r>
    </w:p>
    <w:p>
      <w:pPr>
        <w:pStyle w:val="28"/>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对</w:t>
      </w:r>
      <w:r>
        <w:rPr>
          <w:rFonts w:hint="eastAsia" w:ascii="仿宋" w:hAnsi="仿宋" w:eastAsia="仿宋" w:cs="仿宋"/>
          <w:spacing w:val="0"/>
          <w:kern w:val="0"/>
          <w:sz w:val="32"/>
          <w:szCs w:val="32"/>
          <w:lang w:val="en-US" w:eastAsia="zh-CN"/>
        </w:rPr>
        <w:t>8</w:t>
      </w:r>
      <w:r>
        <w:rPr>
          <w:rFonts w:ascii="仿宋" w:hAnsi="仿宋" w:eastAsia="仿宋" w:cs="仿宋"/>
          <w:spacing w:val="0"/>
          <w:kern w:val="0"/>
          <w:sz w:val="32"/>
          <w:szCs w:val="32"/>
        </w:rPr>
        <w:t>个项目实施部门评价，分别是</w:t>
      </w:r>
      <w:r>
        <w:rPr>
          <w:rFonts w:hint="eastAsia" w:ascii="仿宋" w:hAnsi="仿宋" w:eastAsia="仿宋" w:cs="仿宋"/>
          <w:spacing w:val="0"/>
          <w:kern w:val="0"/>
          <w:sz w:val="32"/>
          <w:szCs w:val="32"/>
        </w:rPr>
        <w:t>劳模津贴</w:t>
      </w:r>
      <w:r>
        <w:rPr>
          <w:rFonts w:ascii="仿宋" w:hAnsi="仿宋" w:eastAsia="仿宋" w:cs="仿宋"/>
          <w:spacing w:val="0"/>
          <w:kern w:val="0"/>
          <w:sz w:val="32"/>
          <w:szCs w:val="32"/>
        </w:rPr>
        <w:t>等项目，涉及财政拨款资金共计</w:t>
      </w:r>
      <w:r>
        <w:rPr>
          <w:rFonts w:hint="eastAsia" w:ascii="仿宋" w:hAnsi="仿宋" w:eastAsia="仿宋" w:cs="仿宋"/>
          <w:spacing w:val="0"/>
          <w:kern w:val="0"/>
          <w:sz w:val="32"/>
          <w:szCs w:val="32"/>
          <w:lang w:val="en-US" w:eastAsia="zh-CN"/>
        </w:rPr>
        <w:t>430.36</w:t>
      </w:r>
      <w:r>
        <w:rPr>
          <w:rFonts w:ascii="仿宋" w:hAnsi="仿宋" w:eastAsia="仿宋" w:cs="仿宋"/>
          <w:spacing w:val="0"/>
          <w:kern w:val="0"/>
          <w:sz w:val="32"/>
          <w:szCs w:val="32"/>
        </w:rPr>
        <w:t>万元，评价结果等次为“优”“良”“中”“差”的项目分别是</w:t>
      </w:r>
      <w:r>
        <w:rPr>
          <w:rFonts w:hint="eastAsia" w:ascii="仿宋" w:hAnsi="仿宋" w:eastAsia="仿宋" w:cs="仿宋"/>
          <w:spacing w:val="0"/>
          <w:kern w:val="0"/>
          <w:sz w:val="32"/>
          <w:szCs w:val="32"/>
          <w:lang w:val="en-US" w:eastAsia="zh-CN"/>
        </w:rPr>
        <w:t>7</w:t>
      </w:r>
      <w:r>
        <w:rPr>
          <w:rFonts w:ascii="仿宋" w:hAnsi="仿宋" w:eastAsia="仿宋" w:cs="仿宋"/>
          <w:spacing w:val="0"/>
          <w:kern w:val="0"/>
          <w:sz w:val="32"/>
          <w:szCs w:val="32"/>
        </w:rPr>
        <w:t>个、</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个、</w:t>
      </w:r>
      <w:r>
        <w:rPr>
          <w:rFonts w:hint="eastAsia" w:ascii="仿宋" w:hAnsi="仿宋" w:eastAsia="仿宋" w:cs="仿宋"/>
          <w:spacing w:val="0"/>
          <w:kern w:val="0"/>
          <w:sz w:val="32"/>
          <w:szCs w:val="32"/>
          <w:lang w:val="en-US" w:eastAsia="zh-CN"/>
        </w:rPr>
        <w:t>1</w:t>
      </w:r>
      <w:r>
        <w:rPr>
          <w:rFonts w:ascii="仿宋" w:hAnsi="仿宋" w:eastAsia="仿宋" w:cs="仿宋"/>
          <w:spacing w:val="0"/>
          <w:kern w:val="0"/>
          <w:sz w:val="32"/>
          <w:szCs w:val="32"/>
        </w:rPr>
        <w:t>个、</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个。（《项目支出绩效评价报告》详见附件）</w:t>
      </w:r>
    </w:p>
    <w:p>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32"/>
          <w:szCs w:val="32"/>
        </w:rPr>
        <w:t>九、其他重要事项说明</w:t>
      </w:r>
    </w:p>
    <w:p>
      <w:pPr>
        <w:pStyle w:val="28"/>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2024年度机关运行经费支出</w:t>
      </w:r>
      <w:r>
        <w:rPr>
          <w:rFonts w:hint="eastAsia" w:ascii="仿宋" w:hAnsi="仿宋" w:eastAsia="仿宋" w:cs="仿宋"/>
          <w:spacing w:val="0"/>
          <w:kern w:val="0"/>
          <w:sz w:val="32"/>
          <w:szCs w:val="32"/>
          <w:lang w:val="en-US" w:eastAsia="zh-CN"/>
        </w:rPr>
        <w:t>14.91</w:t>
      </w:r>
      <w:r>
        <w:rPr>
          <w:rFonts w:ascii="仿宋" w:hAnsi="仿宋" w:eastAsia="仿宋" w:cs="仿宋"/>
          <w:spacing w:val="0"/>
          <w:kern w:val="0"/>
          <w:sz w:val="32"/>
          <w:szCs w:val="32"/>
        </w:rPr>
        <w:t>万元，比上年决算数减少</w:t>
      </w:r>
      <w:r>
        <w:rPr>
          <w:rFonts w:hint="eastAsia" w:ascii="仿宋" w:hAnsi="仿宋" w:eastAsia="仿宋" w:cs="仿宋"/>
          <w:spacing w:val="0"/>
          <w:kern w:val="0"/>
          <w:sz w:val="32"/>
          <w:szCs w:val="32"/>
          <w:lang w:val="en-US" w:eastAsia="zh-CN"/>
        </w:rPr>
        <w:t>1.47</w:t>
      </w:r>
      <w:r>
        <w:rPr>
          <w:rFonts w:ascii="仿宋" w:hAnsi="仿宋" w:eastAsia="仿宋" w:cs="仿宋"/>
          <w:spacing w:val="0"/>
          <w:kern w:val="0"/>
          <w:sz w:val="32"/>
          <w:szCs w:val="32"/>
        </w:rPr>
        <w:t>万元，降低</w:t>
      </w:r>
      <w:r>
        <w:rPr>
          <w:rFonts w:hint="eastAsia" w:ascii="仿宋" w:hAnsi="仿宋" w:eastAsia="仿宋" w:cs="仿宋"/>
          <w:spacing w:val="0"/>
          <w:kern w:val="0"/>
          <w:sz w:val="32"/>
          <w:szCs w:val="32"/>
          <w:lang w:val="en-US" w:eastAsia="zh-CN"/>
        </w:rPr>
        <w:t>8.97</w:t>
      </w:r>
      <w:r>
        <w:rPr>
          <w:rFonts w:ascii="仿宋" w:hAnsi="仿宋" w:eastAsia="仿宋" w:cs="仿宋"/>
          <w:spacing w:val="0"/>
          <w:kern w:val="0"/>
          <w:sz w:val="32"/>
          <w:szCs w:val="32"/>
        </w:rPr>
        <w:t>%，主要原因是:信息系统运行维护支出减少。</w:t>
      </w:r>
    </w:p>
    <w:p>
      <w:pPr>
        <w:pStyle w:val="28"/>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（二）政府采购情况</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本部门2024年度政府采购支出总额</w:t>
      </w:r>
      <w:r>
        <w:rPr>
          <w:rFonts w:hint="eastAsia" w:ascii="仿宋" w:hAnsi="仿宋" w:eastAsia="仿宋" w:cs="仿宋"/>
          <w:spacing w:val="0"/>
          <w:kern w:val="0"/>
          <w:sz w:val="32"/>
          <w:szCs w:val="32"/>
          <w:lang w:val="en-US" w:eastAsia="zh-CN"/>
        </w:rPr>
        <w:t>72.54</w:t>
      </w:r>
      <w:r>
        <w:rPr>
          <w:rFonts w:ascii="仿宋" w:hAnsi="仿宋" w:eastAsia="仿宋" w:cs="仿宋"/>
          <w:spacing w:val="0"/>
          <w:kern w:val="0"/>
          <w:sz w:val="32"/>
          <w:szCs w:val="32"/>
        </w:rPr>
        <w:t>万元，其中：政府采购货物支出</w:t>
      </w:r>
      <w:r>
        <w:rPr>
          <w:rFonts w:hint="eastAsia" w:ascii="仿宋" w:hAnsi="仿宋" w:eastAsia="仿宋" w:cs="仿宋"/>
          <w:spacing w:val="0"/>
          <w:kern w:val="0"/>
          <w:sz w:val="32"/>
          <w:szCs w:val="32"/>
          <w:lang w:val="en-US" w:eastAsia="zh-CN"/>
        </w:rPr>
        <w:t>1.33</w:t>
      </w:r>
      <w:r>
        <w:rPr>
          <w:rFonts w:ascii="仿宋" w:hAnsi="仿宋" w:eastAsia="仿宋" w:cs="仿宋"/>
          <w:spacing w:val="0"/>
          <w:kern w:val="0"/>
          <w:sz w:val="32"/>
          <w:szCs w:val="32"/>
        </w:rPr>
        <w:t>万元、政府采购工程支出0万元、政府采购服务支出</w:t>
      </w:r>
      <w:r>
        <w:rPr>
          <w:rFonts w:hint="eastAsia" w:ascii="仿宋" w:hAnsi="仿宋" w:eastAsia="仿宋" w:cs="仿宋"/>
          <w:spacing w:val="0"/>
          <w:kern w:val="0"/>
          <w:sz w:val="32"/>
          <w:szCs w:val="32"/>
          <w:lang w:val="en-US" w:eastAsia="zh-CN"/>
        </w:rPr>
        <w:t>71.21</w:t>
      </w:r>
      <w:r>
        <w:rPr>
          <w:rFonts w:ascii="仿宋" w:hAnsi="仿宋" w:eastAsia="仿宋" w:cs="仿宋"/>
          <w:spacing w:val="0"/>
          <w:kern w:val="0"/>
          <w:sz w:val="32"/>
          <w:szCs w:val="32"/>
        </w:rPr>
        <w:t>万元。授予中小企业合同金额</w:t>
      </w:r>
      <w:r>
        <w:rPr>
          <w:rFonts w:hint="eastAsia" w:ascii="仿宋" w:hAnsi="仿宋" w:eastAsia="仿宋" w:cs="仿宋"/>
          <w:spacing w:val="0"/>
          <w:kern w:val="0"/>
          <w:sz w:val="32"/>
          <w:szCs w:val="32"/>
          <w:lang w:val="en-US" w:eastAsia="zh-CN"/>
        </w:rPr>
        <w:t>72.54</w:t>
      </w:r>
      <w:r>
        <w:rPr>
          <w:rFonts w:ascii="仿宋" w:hAnsi="仿宋" w:eastAsia="仿宋" w:cs="仿宋"/>
          <w:spacing w:val="0"/>
          <w:kern w:val="0"/>
          <w:sz w:val="32"/>
          <w:szCs w:val="32"/>
        </w:rPr>
        <w:t>万元，占政府采购支出总额的</w:t>
      </w:r>
      <w:r>
        <w:rPr>
          <w:rFonts w:hint="eastAsia" w:ascii="仿宋" w:hAnsi="仿宋" w:eastAsia="仿宋" w:cs="仿宋"/>
          <w:spacing w:val="0"/>
          <w:kern w:val="0"/>
          <w:sz w:val="32"/>
          <w:szCs w:val="32"/>
          <w:lang w:val="en-US" w:eastAsia="zh-CN"/>
        </w:rPr>
        <w:t>10</w:t>
      </w:r>
      <w:r>
        <w:rPr>
          <w:rFonts w:ascii="仿宋" w:hAnsi="仿宋" w:eastAsia="仿宋" w:cs="仿宋"/>
          <w:spacing w:val="0"/>
          <w:kern w:val="0"/>
          <w:sz w:val="32"/>
          <w:szCs w:val="32"/>
        </w:rPr>
        <w:t>0%，其中：授予小微企业合同金额</w:t>
      </w:r>
      <w:r>
        <w:rPr>
          <w:rFonts w:hint="eastAsia" w:ascii="仿宋" w:hAnsi="仿宋" w:eastAsia="仿宋" w:cs="仿宋"/>
          <w:spacing w:val="0"/>
          <w:kern w:val="0"/>
          <w:sz w:val="32"/>
          <w:szCs w:val="32"/>
          <w:lang w:val="en-US" w:eastAsia="zh-CN"/>
        </w:rPr>
        <w:t>0.43</w:t>
      </w:r>
      <w:r>
        <w:rPr>
          <w:rFonts w:ascii="仿宋" w:hAnsi="仿宋" w:eastAsia="仿宋" w:cs="仿宋"/>
          <w:spacing w:val="0"/>
          <w:kern w:val="0"/>
          <w:sz w:val="32"/>
          <w:szCs w:val="32"/>
        </w:rPr>
        <w:t>万元，占授予中小企业合同金额的</w:t>
      </w:r>
      <w:r>
        <w:rPr>
          <w:rFonts w:hint="eastAsia" w:ascii="仿宋" w:hAnsi="仿宋" w:eastAsia="仿宋" w:cs="仿宋"/>
          <w:spacing w:val="0"/>
          <w:kern w:val="0"/>
          <w:sz w:val="32"/>
          <w:szCs w:val="32"/>
          <w:lang w:val="en-US" w:eastAsia="zh-CN"/>
        </w:rPr>
        <w:t>0.59</w:t>
      </w:r>
      <w:r>
        <w:rPr>
          <w:rFonts w:ascii="仿宋" w:hAnsi="仿宋" w:eastAsia="仿宋" w:cs="仿宋"/>
          <w:spacing w:val="0"/>
          <w:kern w:val="0"/>
          <w:sz w:val="32"/>
          <w:szCs w:val="32"/>
        </w:rPr>
        <w:t>%；货物采购授予中小企业合同金额占货物支出金额的</w:t>
      </w:r>
      <w:r>
        <w:rPr>
          <w:rFonts w:hint="eastAsia" w:ascii="仿宋" w:hAnsi="仿宋" w:eastAsia="仿宋" w:cs="仿宋"/>
          <w:spacing w:val="0"/>
          <w:kern w:val="0"/>
          <w:sz w:val="32"/>
          <w:szCs w:val="32"/>
          <w:lang w:val="en-US" w:eastAsia="zh-CN"/>
        </w:rPr>
        <w:t>100</w:t>
      </w:r>
      <w:r>
        <w:rPr>
          <w:rFonts w:ascii="仿宋" w:hAnsi="仿宋" w:eastAsia="仿宋" w:cs="仿宋"/>
          <w:spacing w:val="0"/>
          <w:kern w:val="0"/>
          <w:sz w:val="32"/>
          <w:szCs w:val="32"/>
        </w:rPr>
        <w:t>%，服务采购授予中小企业合同金额占服务支出金额的</w:t>
      </w:r>
      <w:r>
        <w:rPr>
          <w:rFonts w:hint="eastAsia" w:ascii="仿宋" w:hAnsi="仿宋" w:eastAsia="仿宋" w:cs="仿宋"/>
          <w:spacing w:val="0"/>
          <w:kern w:val="0"/>
          <w:sz w:val="32"/>
          <w:szCs w:val="32"/>
          <w:lang w:val="en-US" w:eastAsia="zh-CN"/>
        </w:rPr>
        <w:t>100</w:t>
      </w:r>
      <w:r>
        <w:rPr>
          <w:rFonts w:ascii="仿宋" w:hAnsi="仿宋" w:eastAsia="仿宋" w:cs="仿宋"/>
          <w:spacing w:val="0"/>
          <w:kern w:val="0"/>
          <w:sz w:val="32"/>
          <w:szCs w:val="32"/>
        </w:rPr>
        <w:t>%。</w:t>
      </w:r>
    </w:p>
    <w:p>
      <w:pPr>
        <w:pStyle w:val="28"/>
        <w:widowControl/>
        <w:spacing w:before="100" w:after="100" w:line="600" w:lineRule="atLeast"/>
        <w:ind w:left="0" w:right="0" w:firstLine="707"/>
        <w:jc w:val="left"/>
        <w:rPr>
          <w:rFonts w:ascii="Times New Roman" w:hAnsi="Times New Roman" w:eastAsia="Times New Roman" w:cs="Times New Roman"/>
          <w:kern w:val="0"/>
          <w:sz w:val="24"/>
        </w:rPr>
      </w:pPr>
      <w:r>
        <w:rPr>
          <w:rFonts w:ascii="楷体" w:hAnsi="楷体" w:eastAsia="楷体" w:cs="楷体"/>
          <w:spacing w:val="0"/>
          <w:kern w:val="0"/>
          <w:sz w:val="32"/>
          <w:szCs w:val="32"/>
        </w:rPr>
        <w:t>（三）国有资产占用使用情况</w:t>
      </w:r>
      <w:r>
        <w:rPr>
          <w:rFonts w:ascii="宋体" w:hAnsi="宋体" w:cs="宋体"/>
          <w:spacing w:val="0"/>
          <w:kern w:val="0"/>
          <w:sz w:val="32"/>
          <w:szCs w:val="32"/>
        </w:rPr>
        <w:t> </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截至2024年12月31日，本部门共有车辆0辆；单位价值100万元以上设备（不含车辆）0台（套）。 </w:t>
      </w:r>
    </w:p>
    <w:p>
      <w:pPr>
        <w:pStyle w:val="28"/>
        <w:widowControl/>
        <w:spacing w:before="100" w:after="100"/>
        <w:ind w:left="0" w:right="0" w:firstLine="0"/>
        <w:jc w:val="left"/>
        <w:rPr>
          <w:rFonts w:ascii="宋体" w:hAnsi="宋体" w:cs="宋体"/>
          <w:spacing w:val="0"/>
          <w:kern w:val="0"/>
          <w:sz w:val="56"/>
          <w:szCs w:val="56"/>
        </w:rPr>
      </w:pPr>
      <w:r>
        <w:rPr>
          <w:rFonts w:ascii="Calibri" w:hAnsi="Calibri" w:eastAsia="Calibri" w:cs="Calibri"/>
          <w:spacing w:val="0"/>
          <w:kern w:val="0"/>
          <w:sz w:val="27"/>
          <w:szCs w:val="27"/>
        </w:rPr>
        <w:t> </w:t>
      </w:r>
      <w:r>
        <w:rPr>
          <w:rFonts w:ascii="宋体" w:hAnsi="宋体" w:cs="宋体"/>
          <w:spacing w:val="0"/>
          <w:kern w:val="0"/>
          <w:sz w:val="56"/>
          <w:szCs w:val="56"/>
        </w:rPr>
        <w:t> </w:t>
      </w:r>
    </w:p>
    <w:p>
      <w:pPr>
        <w:pStyle w:val="28"/>
        <w:widowControl/>
        <w:spacing w:before="100" w:after="100"/>
        <w:ind w:left="0" w:right="0" w:firstLine="0"/>
        <w:jc w:val="left"/>
        <w:rPr>
          <w:rFonts w:ascii="宋体" w:hAnsi="宋体" w:cs="宋体"/>
          <w:spacing w:val="0"/>
          <w:kern w:val="0"/>
          <w:sz w:val="56"/>
          <w:szCs w:val="56"/>
        </w:rPr>
      </w:pPr>
    </w:p>
    <w:p>
      <w:pPr>
        <w:pStyle w:val="28"/>
        <w:widowControl/>
        <w:spacing w:before="100" w:after="100"/>
        <w:ind w:left="0" w:right="0" w:firstLine="0"/>
        <w:jc w:val="left"/>
        <w:rPr>
          <w:rFonts w:ascii="宋体" w:hAnsi="宋体" w:cs="宋体"/>
          <w:spacing w:val="0"/>
          <w:kern w:val="0"/>
          <w:sz w:val="56"/>
          <w:szCs w:val="56"/>
        </w:rPr>
      </w:pPr>
    </w:p>
    <w:p>
      <w:pPr>
        <w:pStyle w:val="28"/>
        <w:widowControl/>
        <w:spacing w:before="100" w:after="100"/>
        <w:ind w:left="0" w:right="0" w:firstLine="0"/>
        <w:jc w:val="left"/>
        <w:rPr>
          <w:rFonts w:ascii="宋体" w:hAnsi="宋体" w:cs="宋体"/>
          <w:spacing w:val="0"/>
          <w:kern w:val="0"/>
          <w:sz w:val="56"/>
          <w:szCs w:val="56"/>
        </w:rPr>
      </w:pPr>
    </w:p>
    <w:p>
      <w:pPr>
        <w:pStyle w:val="28"/>
        <w:widowControl/>
        <w:spacing w:before="100" w:after="100"/>
        <w:ind w:left="0" w:right="0" w:firstLine="0"/>
        <w:jc w:val="left"/>
        <w:rPr>
          <w:rFonts w:ascii="宋体" w:hAnsi="宋体" w:cs="宋体"/>
          <w:spacing w:val="0"/>
          <w:kern w:val="0"/>
          <w:sz w:val="56"/>
          <w:szCs w:val="56"/>
        </w:rPr>
      </w:pPr>
    </w:p>
    <w:p>
      <w:pPr>
        <w:pStyle w:val="28"/>
        <w:widowControl/>
        <w:spacing w:before="100" w:after="100"/>
        <w:ind w:left="0" w:right="0" w:firstLine="0"/>
        <w:jc w:val="left"/>
        <w:rPr>
          <w:rFonts w:ascii="宋体" w:hAnsi="宋体" w:cs="宋体"/>
          <w:spacing w:val="0"/>
          <w:kern w:val="0"/>
          <w:sz w:val="56"/>
          <w:szCs w:val="56"/>
        </w:rPr>
      </w:pPr>
    </w:p>
    <w:p>
      <w:pPr>
        <w:pStyle w:val="28"/>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56"/>
          <w:szCs w:val="56"/>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第四部分</w:t>
      </w:r>
      <w:r>
        <w:rPr>
          <w:rFonts w:ascii="宋体" w:hAnsi="宋体" w:cs="宋体"/>
          <w:spacing w:val="0"/>
          <w:kern w:val="0"/>
          <w:sz w:val="56"/>
          <w:szCs w:val="56"/>
        </w:rPr>
        <w:t> </w:t>
      </w:r>
    </w:p>
    <w:p>
      <w:pPr>
        <w:pStyle w:val="28"/>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56"/>
          <w:szCs w:val="56"/>
        </w:rPr>
        <w:t>名词解释</w:t>
      </w:r>
    </w:p>
    <w:p>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一、财政拨款收入：</w:t>
      </w:r>
      <w:r>
        <w:rPr>
          <w:rFonts w:ascii="仿宋" w:hAnsi="仿宋" w:eastAsia="仿宋" w:cs="仿宋"/>
          <w:spacing w:val="0"/>
          <w:kern w:val="0"/>
          <w:sz w:val="32"/>
          <w:szCs w:val="32"/>
        </w:rPr>
        <w:t>指单位从本级财政部门取得的财政预算资金，包括一般公共预算财政拨款、政府性基金预算财政拨款和国有资本经营预算财政拨款。</w:t>
      </w:r>
    </w:p>
    <w:p>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二、事业收入：</w:t>
      </w:r>
      <w:r>
        <w:rPr>
          <w:rFonts w:ascii="仿宋" w:hAnsi="仿宋" w:eastAsia="仿宋" w:cs="仿宋"/>
          <w:spacing w:val="0"/>
          <w:kern w:val="0"/>
          <w:sz w:val="32"/>
          <w:szCs w:val="32"/>
        </w:rPr>
        <w:t>指事业单位开展专业业务活动及辅助活动所取得的收入。</w:t>
      </w:r>
    </w:p>
    <w:p>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三、经营收入：</w:t>
      </w:r>
      <w:r>
        <w:rPr>
          <w:rFonts w:ascii="仿宋" w:hAnsi="仿宋" w:eastAsia="仿宋" w:cs="仿宋"/>
          <w:spacing w:val="0"/>
          <w:kern w:val="0"/>
          <w:sz w:val="32"/>
          <w:szCs w:val="32"/>
        </w:rPr>
        <w:t>指事业单位在专业业务活动及其辅助活动之外开展非独立核算经营活动取得的收入。</w:t>
      </w:r>
    </w:p>
    <w:p>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四、其他收入：</w:t>
      </w:r>
      <w:r>
        <w:rPr>
          <w:rFonts w:ascii="仿宋" w:hAnsi="仿宋" w:eastAsia="仿宋" w:cs="仿宋"/>
          <w:spacing w:val="0"/>
          <w:kern w:val="0"/>
          <w:sz w:val="32"/>
          <w:szCs w:val="32"/>
        </w:rPr>
        <w:t>指除上述“财政拨款收入”“事业收入”“上级补助收入”“附属单位上缴收入”“经营收入”等以外取得的各项收入。主要是事业单位固定资产出租收入等。</w:t>
      </w:r>
    </w:p>
    <w:p>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五、使用非财政拨款结余：</w:t>
      </w:r>
      <w:r>
        <w:rPr>
          <w:rFonts w:ascii="仿宋" w:hAnsi="仿宋" w:eastAsia="仿宋" w:cs="仿宋"/>
          <w:spacing w:val="0"/>
          <w:kern w:val="0"/>
          <w:sz w:val="32"/>
          <w:szCs w:val="32"/>
        </w:rPr>
        <w:t>指事业单位使用以前年度积累的非财政拨款结余弥补当年收支差额的金额。</w:t>
      </w:r>
    </w:p>
    <w:p>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六、年初结转和结余：</w:t>
      </w:r>
      <w:r>
        <w:rPr>
          <w:rFonts w:ascii="仿宋" w:hAnsi="仿宋" w:eastAsia="仿宋" w:cs="仿宋"/>
          <w:spacing w:val="0"/>
          <w:kern w:val="0"/>
          <w:sz w:val="32"/>
          <w:szCs w:val="32"/>
        </w:rPr>
        <w:t>指单位以前年度尚未完成、结转到本年仍按原规定用途继续使用的资金，或项目已完成等产生的结余资金。</w:t>
      </w:r>
    </w:p>
    <w:p>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七、结余分配：</w:t>
      </w:r>
      <w:r>
        <w:rPr>
          <w:rFonts w:ascii="仿宋" w:hAnsi="仿宋" w:eastAsia="仿宋" w:cs="仿宋"/>
          <w:spacing w:val="0"/>
          <w:kern w:val="0"/>
          <w:sz w:val="32"/>
          <w:szCs w:val="32"/>
        </w:rPr>
        <w:t>指事业单位按照会计制度规定缴纳的所得税、提取的专用结余以及转入非财政拨款结余的金额等。</w:t>
      </w:r>
    </w:p>
    <w:p>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八、年末结转和结余：</w:t>
      </w:r>
      <w:r>
        <w:rPr>
          <w:rFonts w:ascii="仿宋" w:hAnsi="仿宋" w:eastAsia="仿宋" w:cs="仿宋"/>
          <w:spacing w:val="0"/>
          <w:kern w:val="0"/>
          <w:sz w:val="32"/>
          <w:szCs w:val="32"/>
        </w:rPr>
        <w:t>指单位按有关规定结转到下年或以后年度继续使用的资金，或项目已完成等产生的结余资金。</w:t>
      </w:r>
    </w:p>
    <w:p>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九、基本支出：</w:t>
      </w:r>
      <w:r>
        <w:rPr>
          <w:rFonts w:ascii="仿宋" w:hAnsi="仿宋" w:eastAsia="仿宋" w:cs="仿宋"/>
          <w:spacing w:val="0"/>
          <w:kern w:val="0"/>
          <w:sz w:val="32"/>
          <w:szCs w:val="32"/>
        </w:rPr>
        <w:t>指为保障机构正常运转、完成日常工作任务而发生的人员支出和公用支出。</w:t>
      </w:r>
    </w:p>
    <w:p>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十、项目支出：</w:t>
      </w:r>
      <w:r>
        <w:rPr>
          <w:rFonts w:ascii="仿宋" w:hAnsi="仿宋" w:eastAsia="仿宋" w:cs="仿宋"/>
          <w:spacing w:val="0"/>
          <w:kern w:val="0"/>
          <w:sz w:val="32"/>
          <w:szCs w:val="32"/>
        </w:rPr>
        <w:t>指在基本支出之外为完成特定行政任务和事业发展目标所发生的支出。</w:t>
      </w:r>
    </w:p>
    <w:p>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十一、经营支出：</w:t>
      </w:r>
      <w:r>
        <w:rPr>
          <w:rFonts w:ascii="仿宋" w:hAnsi="仿宋" w:eastAsia="仿宋" w:cs="仿宋"/>
          <w:spacing w:val="0"/>
          <w:kern w:val="0"/>
          <w:sz w:val="32"/>
          <w:szCs w:val="32"/>
        </w:rPr>
        <w:t>指事业单位在专业业务活动及其辅助活动之外开展非独立核算经营活动发生的支出。</w:t>
      </w:r>
    </w:p>
    <w:p>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十二、“三公”经费：</w:t>
      </w:r>
      <w:r>
        <w:rPr>
          <w:rFonts w:ascii="仿宋" w:hAnsi="仿宋" w:eastAsia="仿宋" w:cs="仿宋"/>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ascii="仿宋" w:hAnsi="仿宋" w:eastAsia="仿宋" w:cs="仿宋"/>
          <w:spacing w:val="0"/>
          <w:kern w:val="0"/>
          <w:sz w:val="32"/>
          <w:szCs w:val="32"/>
          <w:u w:val="single"/>
        </w:rPr>
        <w:t>、牌照费</w:t>
      </w:r>
      <w:r>
        <w:rPr>
          <w:rFonts w:ascii="仿宋" w:hAnsi="仿宋" w:eastAsia="仿宋" w:cs="仿宋"/>
          <w:spacing w:val="0"/>
          <w:kern w:val="0"/>
          <w:sz w:val="32"/>
          <w:szCs w:val="32"/>
        </w:rPr>
        <w:t>）及燃料费、维修费、过桥过路费、保险费</w:t>
      </w:r>
      <w:r>
        <w:rPr>
          <w:rFonts w:ascii="仿宋" w:hAnsi="仿宋" w:eastAsia="仿宋" w:cs="仿宋"/>
          <w:spacing w:val="0"/>
          <w:kern w:val="0"/>
          <w:sz w:val="32"/>
          <w:szCs w:val="32"/>
          <w:u w:val="single"/>
        </w:rPr>
        <w:t>、安全奖励费用</w:t>
      </w:r>
      <w:r>
        <w:rPr>
          <w:rFonts w:ascii="仿宋" w:hAnsi="仿宋" w:eastAsia="仿宋" w:cs="仿宋"/>
          <w:spacing w:val="0"/>
          <w:kern w:val="0"/>
          <w:sz w:val="32"/>
          <w:szCs w:val="32"/>
        </w:rPr>
        <w:t>等支出；公务接待费反映单位按规定开支的各类公务接待（含外宾接待）支出。</w:t>
      </w:r>
    </w:p>
    <w:p>
      <w:pPr>
        <w:pStyle w:val="28"/>
        <w:widowControl/>
        <w:spacing w:before="100" w:after="100"/>
        <w:ind w:left="0" w:right="0" w:firstLine="643"/>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十三、机关运行经费：</w:t>
      </w:r>
      <w:r>
        <w:rPr>
          <w:rFonts w:ascii="仿宋" w:hAnsi="仿宋" w:eastAsia="仿宋" w:cs="仿宋"/>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56"/>
          <w:szCs w:val="56"/>
        </w:rPr>
        <w:t> </w:t>
      </w:r>
    </w:p>
    <w:p>
      <w:pPr>
        <w:pStyle w:val="28"/>
        <w:widowControl/>
        <w:spacing w:before="100" w:after="100"/>
        <w:ind w:left="0" w:right="0" w:firstLine="0"/>
        <w:rPr>
          <w:rFonts w:ascii="宋体" w:hAnsi="宋体" w:cs="宋体"/>
          <w:spacing w:val="0"/>
          <w:kern w:val="0"/>
          <w:sz w:val="56"/>
          <w:szCs w:val="56"/>
        </w:rPr>
      </w:pPr>
      <w:r>
        <w:rPr>
          <w:rFonts w:ascii="宋体" w:hAnsi="宋体" w:cs="宋体"/>
          <w:spacing w:val="0"/>
          <w:kern w:val="0"/>
          <w:sz w:val="56"/>
          <w:szCs w:val="56"/>
        </w:rPr>
        <w:t> </w:t>
      </w:r>
    </w:p>
    <w:p>
      <w:pPr>
        <w:pStyle w:val="28"/>
        <w:widowControl/>
        <w:spacing w:before="100" w:after="100"/>
        <w:ind w:left="0" w:right="0" w:firstLine="0"/>
        <w:rPr>
          <w:rFonts w:ascii="宋体" w:hAnsi="宋体" w:cs="宋体"/>
          <w:spacing w:val="0"/>
          <w:kern w:val="0"/>
          <w:sz w:val="56"/>
          <w:szCs w:val="56"/>
        </w:rPr>
      </w:pPr>
    </w:p>
    <w:p>
      <w:pPr>
        <w:pStyle w:val="28"/>
        <w:widowControl/>
        <w:spacing w:before="100" w:after="100"/>
        <w:ind w:left="0" w:right="0" w:firstLine="0"/>
        <w:rPr>
          <w:rFonts w:ascii="宋体" w:hAnsi="宋体" w:cs="宋体"/>
          <w:spacing w:val="0"/>
          <w:kern w:val="0"/>
          <w:sz w:val="56"/>
          <w:szCs w:val="56"/>
        </w:rPr>
      </w:pPr>
    </w:p>
    <w:p>
      <w:pPr>
        <w:pStyle w:val="28"/>
        <w:widowControl/>
        <w:spacing w:before="100" w:after="100"/>
        <w:ind w:left="0" w:right="0" w:firstLine="0"/>
        <w:rPr>
          <w:rFonts w:ascii="宋体" w:hAnsi="宋体" w:cs="宋体"/>
          <w:spacing w:val="0"/>
          <w:kern w:val="0"/>
          <w:sz w:val="56"/>
          <w:szCs w:val="56"/>
        </w:rPr>
      </w:pPr>
    </w:p>
    <w:p>
      <w:pPr>
        <w:pStyle w:val="28"/>
        <w:widowControl/>
        <w:spacing w:before="100" w:after="100"/>
        <w:ind w:left="0" w:right="0" w:firstLine="0"/>
        <w:rPr>
          <w:rFonts w:ascii="Times New Roman" w:hAnsi="Times New Roman" w:eastAsia="Times New Roman" w:cs="Times New Roman"/>
          <w:kern w:val="0"/>
          <w:sz w:val="24"/>
        </w:rPr>
      </w:pPr>
      <w:r>
        <w:rPr>
          <w:rFonts w:ascii="宋体" w:hAnsi="宋体" w:cs="宋体"/>
          <w:spacing w:val="0"/>
          <w:kern w:val="0"/>
          <w:sz w:val="56"/>
          <w:szCs w:val="56"/>
        </w:rPr>
        <w:t> </w:t>
      </w:r>
    </w:p>
    <w:p>
      <w:pPr>
        <w:pStyle w:val="28"/>
        <w:widowControl/>
        <w:spacing w:before="100" w:after="100"/>
        <w:ind w:left="0" w:right="0" w:firstLine="0"/>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28"/>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第五部分</w:t>
      </w:r>
      <w:r>
        <w:rPr>
          <w:rFonts w:ascii="宋体" w:hAnsi="宋体" w:cs="宋体"/>
          <w:spacing w:val="0"/>
          <w:kern w:val="0"/>
          <w:sz w:val="56"/>
          <w:szCs w:val="56"/>
        </w:rPr>
        <w:t> </w:t>
      </w:r>
    </w:p>
    <w:p>
      <w:pPr>
        <w:pStyle w:val="28"/>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56"/>
          <w:szCs w:val="56"/>
        </w:rPr>
        <w:t>附件</w:t>
      </w:r>
    </w:p>
    <w:p>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黑体" w:hAnsi="黑体" w:eastAsia="黑体" w:cs="黑体"/>
          <w:spacing w:val="0"/>
          <w:kern w:val="0"/>
          <w:sz w:val="32"/>
          <w:szCs w:val="32"/>
        </w:rPr>
        <w:t>一、项目支出绩效自评表</w:t>
      </w:r>
    </w:p>
    <w:tbl>
      <w:tblPr>
        <w:tblStyle w:val="22"/>
        <w:tblW w:w="9770" w:type="dxa"/>
        <w:tblInd w:w="0" w:type="dxa"/>
        <w:shd w:val="clear" w:color="auto" w:fill="auto"/>
        <w:tblLayout w:type="fixed"/>
        <w:tblCellMar>
          <w:top w:w="0" w:type="dxa"/>
          <w:left w:w="0" w:type="dxa"/>
          <w:bottom w:w="0" w:type="dxa"/>
          <w:right w:w="0" w:type="dxa"/>
        </w:tblCellMar>
      </w:tblPr>
      <w:tblGrid>
        <w:gridCol w:w="494"/>
        <w:gridCol w:w="241"/>
        <w:gridCol w:w="735"/>
        <w:gridCol w:w="57"/>
        <w:gridCol w:w="679"/>
        <w:gridCol w:w="735"/>
        <w:gridCol w:w="514"/>
        <w:gridCol w:w="221"/>
        <w:gridCol w:w="636"/>
        <w:gridCol w:w="99"/>
        <w:gridCol w:w="735"/>
        <w:gridCol w:w="25"/>
        <w:gridCol w:w="710"/>
        <w:gridCol w:w="148"/>
        <w:gridCol w:w="587"/>
        <w:gridCol w:w="172"/>
        <w:gridCol w:w="563"/>
        <w:gridCol w:w="244"/>
        <w:gridCol w:w="491"/>
        <w:gridCol w:w="316"/>
        <w:gridCol w:w="1368"/>
      </w:tblGrid>
      <w:tr>
        <w:tblPrEx>
          <w:shd w:val="clear" w:color="auto" w:fill="auto"/>
          <w:tblLayout w:type="fixed"/>
          <w:tblCellMar>
            <w:top w:w="0" w:type="dxa"/>
            <w:left w:w="0" w:type="dxa"/>
            <w:bottom w:w="0" w:type="dxa"/>
            <w:right w:w="0" w:type="dxa"/>
          </w:tblCellMar>
        </w:tblPrEx>
        <w:trPr>
          <w:trHeight w:val="450" w:hRule="atLeast"/>
        </w:trPr>
        <w:tc>
          <w:tcPr>
            <w:tcW w:w="9770"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770"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2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564" w:type="dxa"/>
            <w:gridSpan w:val="1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2023年度财政监督检查专项经费</w:t>
            </w:r>
          </w:p>
        </w:tc>
      </w:tr>
      <w:tr>
        <w:tblPrEx>
          <w:tblLayout w:type="fixed"/>
          <w:tblCellMar>
            <w:top w:w="0" w:type="dxa"/>
            <w:left w:w="0" w:type="dxa"/>
            <w:bottom w:w="0" w:type="dxa"/>
            <w:right w:w="0" w:type="dxa"/>
          </w:tblCellMar>
        </w:tblPrEx>
        <w:trPr>
          <w:trHeight w:val="480" w:hRule="atLeast"/>
        </w:trPr>
        <w:tc>
          <w:tcPr>
            <w:tcW w:w="2206"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9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6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206"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56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财政监督检查、财政内部控制建设、预决算公开检查以及协助开展专项资金检查等（榕财行（指）〔2024〕86 号）政府经济分类50299其他商品和服务支出；部门预算经济分类30299其他商品和服务支出</w:t>
            </w:r>
          </w:p>
        </w:tc>
      </w:tr>
      <w:tr>
        <w:tblPrEx>
          <w:tblLayout w:type="fixed"/>
          <w:tblCellMar>
            <w:top w:w="0" w:type="dxa"/>
            <w:left w:w="0" w:type="dxa"/>
            <w:bottom w:w="0" w:type="dxa"/>
            <w:right w:w="0" w:type="dxa"/>
          </w:tblCellMar>
        </w:tblPrEx>
        <w:trPr>
          <w:trHeight w:val="699" w:hRule="atLeast"/>
        </w:trPr>
        <w:tc>
          <w:tcPr>
            <w:tcW w:w="2206"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56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完成上级部门布置的预算绩效管理、会计信息质量检查等任务，并出具相应的检查报告。</w:t>
            </w:r>
          </w:p>
        </w:tc>
      </w:tr>
      <w:tr>
        <w:tblPrEx>
          <w:tblLayout w:type="fixed"/>
          <w:tblCellMar>
            <w:top w:w="0" w:type="dxa"/>
            <w:left w:w="0" w:type="dxa"/>
            <w:bottom w:w="0" w:type="dxa"/>
            <w:right w:w="0" w:type="dxa"/>
          </w:tblCellMar>
        </w:tblPrEx>
        <w:trPr>
          <w:trHeight w:val="480" w:hRule="atLeast"/>
        </w:trPr>
        <w:tc>
          <w:tcPr>
            <w:tcW w:w="49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7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6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7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7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5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7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7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467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59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13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财政监督检查、财政内部控制建设、预决算公开检查以及协助开展专项资金检查等</w:t>
            </w:r>
          </w:p>
        </w:tc>
        <w:tc>
          <w:tcPr>
            <w:tcW w:w="459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财政监督检查、财政内部控制建设、预决算公开检查以及协助开展专项资金检查等</w:t>
            </w:r>
          </w:p>
        </w:tc>
      </w:tr>
      <w:tr>
        <w:tblPrEx>
          <w:tblLayout w:type="fixed"/>
          <w:tblCellMar>
            <w:top w:w="0" w:type="dxa"/>
            <w:left w:w="0" w:type="dxa"/>
            <w:bottom w:w="0" w:type="dxa"/>
            <w:right w:w="0" w:type="dxa"/>
          </w:tblCellMar>
        </w:tblPrEx>
        <w:trPr>
          <w:trHeight w:val="48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03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106"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71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检查单位数</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≥3家</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查前公示率</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查后公告率</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检查按时完成率</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投入检查人员数</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≥2人</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预决算公开检查综合评分</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≥50全省预决算公开检查中的排名</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未查到排名</w:t>
            </w:r>
          </w:p>
        </w:tc>
      </w:tr>
      <w:tr>
        <w:tblPrEx>
          <w:tblLayout w:type="fixed"/>
          <w:tblCellMar>
            <w:top w:w="0" w:type="dxa"/>
            <w:left w:w="0" w:type="dxa"/>
            <w:bottom w:w="0" w:type="dxa"/>
            <w:right w:w="0" w:type="dxa"/>
          </w:tblCellMar>
        </w:tblPrEx>
        <w:trPr>
          <w:trHeight w:val="4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举报投诉数</w:t>
            </w:r>
          </w:p>
        </w:tc>
        <w:tc>
          <w:tcPr>
            <w:tcW w:w="1717"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6788" w:type="dxa"/>
            <w:gridSpan w:val="1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2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tblLayout w:type="fixed"/>
          <w:tblCellMar>
            <w:top w:w="0" w:type="dxa"/>
            <w:left w:w="0" w:type="dxa"/>
            <w:bottom w:w="0" w:type="dxa"/>
            <w:right w:w="0" w:type="dxa"/>
          </w:tblCellMar>
        </w:tblPrEx>
        <w:trPr>
          <w:trHeight w:val="480" w:hRule="atLeast"/>
        </w:trPr>
        <w:tc>
          <w:tcPr>
            <w:tcW w:w="1527"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8243" w:type="dxa"/>
            <w:gridSpan w:val="1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中（80&gt;S≧60）</w:t>
            </w:r>
          </w:p>
        </w:tc>
      </w:tr>
      <w:tr>
        <w:tblPrEx>
          <w:tblLayout w:type="fixed"/>
          <w:tblCellMar>
            <w:top w:w="0" w:type="dxa"/>
            <w:left w:w="0" w:type="dxa"/>
            <w:bottom w:w="0" w:type="dxa"/>
            <w:right w:w="0" w:type="dxa"/>
          </w:tblCellMar>
        </w:tblPrEx>
        <w:trPr>
          <w:trHeight w:val="441" w:hRule="atLeast"/>
        </w:trPr>
        <w:tc>
          <w:tcPr>
            <w:tcW w:w="15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2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15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目标完成问题</w:t>
            </w: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福州市仓山区财政局“2023年度财政监督检查专项经费”绩效指标中决算公开检查中的排名不低于去年</w:t>
            </w:r>
          </w:p>
        </w:tc>
        <w:tc>
          <w:tcPr>
            <w:tcW w:w="2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“2023年度财政监督检查专项经费”绩效指标中目前未查到绩效指标排名</w:t>
            </w:r>
          </w:p>
        </w:tc>
      </w:tr>
      <w:tr>
        <w:tblPrEx>
          <w:tblLayout w:type="fixed"/>
          <w:tblCellMar>
            <w:top w:w="0" w:type="dxa"/>
            <w:left w:w="0" w:type="dxa"/>
            <w:bottom w:w="0" w:type="dxa"/>
            <w:right w:w="0" w:type="dxa"/>
          </w:tblCellMar>
        </w:tblPrEx>
        <w:trPr>
          <w:trHeight w:val="450" w:hRule="atLeast"/>
        </w:trPr>
        <w:tc>
          <w:tcPr>
            <w:tcW w:w="9770"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770"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2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564" w:type="dxa"/>
            <w:gridSpan w:val="1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法律顾问专项经费</w:t>
            </w:r>
          </w:p>
        </w:tc>
      </w:tr>
      <w:tr>
        <w:tblPrEx>
          <w:tblLayout w:type="fixed"/>
          <w:tblCellMar>
            <w:top w:w="0" w:type="dxa"/>
            <w:left w:w="0" w:type="dxa"/>
            <w:bottom w:w="0" w:type="dxa"/>
            <w:right w:w="0" w:type="dxa"/>
          </w:tblCellMar>
        </w:tblPrEx>
        <w:trPr>
          <w:trHeight w:val="740" w:hRule="atLeast"/>
        </w:trPr>
        <w:tc>
          <w:tcPr>
            <w:tcW w:w="2206"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2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8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206"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56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用于法律顾问工作专项经费支出</w:t>
            </w:r>
          </w:p>
        </w:tc>
      </w:tr>
      <w:tr>
        <w:tblPrEx>
          <w:tblLayout w:type="fixed"/>
          <w:tblCellMar>
            <w:top w:w="0" w:type="dxa"/>
            <w:left w:w="0" w:type="dxa"/>
            <w:bottom w:w="0" w:type="dxa"/>
            <w:right w:w="0" w:type="dxa"/>
          </w:tblCellMar>
        </w:tblPrEx>
        <w:trPr>
          <w:trHeight w:val="699" w:hRule="atLeast"/>
        </w:trPr>
        <w:tc>
          <w:tcPr>
            <w:tcW w:w="2206"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56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用于法律顾问工作专项经费支出</w:t>
            </w:r>
          </w:p>
        </w:tc>
      </w:tr>
      <w:tr>
        <w:tblPrEx>
          <w:tblLayout w:type="fixed"/>
          <w:tblCellMar>
            <w:top w:w="0" w:type="dxa"/>
            <w:left w:w="0" w:type="dxa"/>
            <w:bottom w:w="0" w:type="dxa"/>
            <w:right w:w="0" w:type="dxa"/>
          </w:tblCellMar>
        </w:tblPrEx>
        <w:trPr>
          <w:trHeight w:val="480" w:hRule="atLeast"/>
        </w:trPr>
        <w:tc>
          <w:tcPr>
            <w:tcW w:w="73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367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535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90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7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提供专业的法律咨询以及提出规范文件的法律审核意见。</w:t>
            </w:r>
          </w:p>
        </w:tc>
        <w:tc>
          <w:tcPr>
            <w:tcW w:w="535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提供专业的法律咨询以及提出规范文件的法律审核意见。</w:t>
            </w:r>
          </w:p>
        </w:tc>
      </w:tr>
      <w:tr>
        <w:tblPrEx>
          <w:tblLayout w:type="fixed"/>
          <w:tblCellMar>
            <w:top w:w="0" w:type="dxa"/>
            <w:left w:w="0" w:type="dxa"/>
            <w:bottom w:w="0" w:type="dxa"/>
            <w:right w:w="0" w:type="dxa"/>
          </w:tblCellMar>
        </w:tblPrEx>
        <w:trPr>
          <w:trHeight w:val="92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聘请律所数量</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≥1个</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86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签订合同（协议）数量</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≥3份</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资金使用合规率</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支付（结算）及时性</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实际预算安排资金</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0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规范性文件合法性审查率</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职工投诉数</w:t>
            </w:r>
          </w:p>
        </w:tc>
        <w:tc>
          <w:tcPr>
            <w:tcW w:w="147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≤6次</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5881"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38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Layout w:type="fixed"/>
          <w:tblCellMar>
            <w:top w:w="0" w:type="dxa"/>
            <w:left w:w="0" w:type="dxa"/>
            <w:bottom w:w="0" w:type="dxa"/>
            <w:right w:w="0" w:type="dxa"/>
          </w:tblCellMar>
        </w:tblPrEx>
        <w:trPr>
          <w:trHeight w:val="480" w:hRule="atLeast"/>
        </w:trPr>
        <w:tc>
          <w:tcPr>
            <w:tcW w:w="147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8300" w:type="dxa"/>
            <w:gridSpan w:val="1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29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38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8"/>
        <w:widowControl/>
        <w:spacing w:before="100" w:after="100" w:line="600" w:lineRule="atLeast"/>
        <w:ind w:right="0"/>
        <w:jc w:val="left"/>
        <w:rPr>
          <w:rFonts w:hint="eastAsia" w:ascii="黑体" w:hAnsi="黑体" w:eastAsia="黑体" w:cs="黑体"/>
          <w:spacing w:val="0"/>
          <w:kern w:val="0"/>
          <w:sz w:val="32"/>
          <w:szCs w:val="32"/>
          <w:lang w:eastAsia="zh-CN"/>
        </w:rPr>
      </w:pPr>
    </w:p>
    <w:tbl>
      <w:tblPr>
        <w:tblStyle w:val="22"/>
        <w:tblW w:w="9549" w:type="dxa"/>
        <w:tblInd w:w="0" w:type="dxa"/>
        <w:shd w:val="clear" w:color="auto" w:fill="auto"/>
        <w:tblLayout w:type="fixed"/>
        <w:tblCellMar>
          <w:top w:w="0" w:type="dxa"/>
          <w:left w:w="0" w:type="dxa"/>
          <w:bottom w:w="0" w:type="dxa"/>
          <w:right w:w="0" w:type="dxa"/>
        </w:tblCellMar>
      </w:tblPr>
      <w:tblGrid>
        <w:gridCol w:w="1013"/>
        <w:gridCol w:w="37"/>
        <w:gridCol w:w="35"/>
        <w:gridCol w:w="568"/>
        <w:gridCol w:w="71"/>
        <w:gridCol w:w="69"/>
        <w:gridCol w:w="499"/>
        <w:gridCol w:w="106"/>
        <w:gridCol w:w="104"/>
        <w:gridCol w:w="427"/>
        <w:gridCol w:w="142"/>
        <w:gridCol w:w="139"/>
        <w:gridCol w:w="358"/>
        <w:gridCol w:w="177"/>
        <w:gridCol w:w="173"/>
        <w:gridCol w:w="289"/>
        <w:gridCol w:w="212"/>
        <w:gridCol w:w="208"/>
        <w:gridCol w:w="218"/>
        <w:gridCol w:w="248"/>
        <w:gridCol w:w="243"/>
        <w:gridCol w:w="148"/>
        <w:gridCol w:w="283"/>
        <w:gridCol w:w="277"/>
        <w:gridCol w:w="77"/>
        <w:gridCol w:w="320"/>
        <w:gridCol w:w="312"/>
        <w:gridCol w:w="8"/>
        <w:gridCol w:w="354"/>
        <w:gridCol w:w="283"/>
        <w:gridCol w:w="64"/>
        <w:gridCol w:w="327"/>
        <w:gridCol w:w="381"/>
        <w:gridCol w:w="1379"/>
      </w:tblGrid>
      <w:tr>
        <w:tblPrEx>
          <w:shd w:val="clear" w:color="auto" w:fill="auto"/>
          <w:tblLayout w:type="fixed"/>
          <w:tblCellMar>
            <w:top w:w="0" w:type="dxa"/>
            <w:left w:w="0" w:type="dxa"/>
            <w:bottom w:w="0" w:type="dxa"/>
            <w:right w:w="0" w:type="dxa"/>
          </w:tblCellMar>
        </w:tblPrEx>
        <w:trPr>
          <w:trHeight w:val="450" w:hRule="atLeast"/>
        </w:trPr>
        <w:tc>
          <w:tcPr>
            <w:tcW w:w="9549" w:type="dxa"/>
            <w:gridSpan w:val="3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tbl>
            <w:tblPr>
              <w:tblStyle w:val="22"/>
              <w:tblW w:w="9519" w:type="dxa"/>
              <w:tblInd w:w="-20" w:type="dxa"/>
              <w:shd w:val="clear" w:color="auto" w:fill="auto"/>
              <w:tblLayout w:type="fixed"/>
              <w:tblCellMar>
                <w:top w:w="0" w:type="dxa"/>
                <w:left w:w="0" w:type="dxa"/>
                <w:bottom w:w="0" w:type="dxa"/>
                <w:right w:w="0" w:type="dxa"/>
              </w:tblCellMar>
            </w:tblPr>
            <w:tblGrid>
              <w:gridCol w:w="5"/>
              <w:gridCol w:w="730"/>
              <w:gridCol w:w="735"/>
              <w:gridCol w:w="735"/>
              <w:gridCol w:w="735"/>
              <w:gridCol w:w="735"/>
              <w:gridCol w:w="735"/>
              <w:gridCol w:w="735"/>
              <w:gridCol w:w="735"/>
              <w:gridCol w:w="735"/>
              <w:gridCol w:w="735"/>
              <w:gridCol w:w="735"/>
              <w:gridCol w:w="1434"/>
            </w:tblGrid>
            <w:tr>
              <w:tblPrEx>
                <w:shd w:val="clear" w:color="auto" w:fill="auto"/>
                <w:tblLayout w:type="fixed"/>
                <w:tblCellMar>
                  <w:top w:w="0" w:type="dxa"/>
                  <w:left w:w="0" w:type="dxa"/>
                  <w:bottom w:w="0" w:type="dxa"/>
                  <w:right w:w="0" w:type="dxa"/>
                </w:tblCellMar>
              </w:tblPrEx>
              <w:trPr>
                <w:gridBefore w:val="1"/>
                <w:wBefore w:w="5" w:type="dxa"/>
                <w:trHeight w:val="450" w:hRule="atLeast"/>
              </w:trPr>
              <w:tc>
                <w:tcPr>
                  <w:tcW w:w="9514"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gridBefore w:val="1"/>
                <w:wBefore w:w="5" w:type="dxa"/>
                <w:trHeight w:val="480" w:hRule="atLeast"/>
              </w:trPr>
              <w:tc>
                <w:tcPr>
                  <w:tcW w:w="9514"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2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31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劳模津贴</w:t>
                  </w:r>
                </w:p>
              </w:tc>
            </w:tr>
            <w:tr>
              <w:tblPrEx>
                <w:tblLayout w:type="fixed"/>
                <w:tblCellMar>
                  <w:top w:w="0" w:type="dxa"/>
                  <w:left w:w="0" w:type="dxa"/>
                  <w:bottom w:w="0" w:type="dxa"/>
                  <w:right w:w="0" w:type="dxa"/>
                </w:tblCellMar>
              </w:tblPrEx>
              <w:trPr>
                <w:trHeight w:val="480" w:hRule="atLeast"/>
              </w:trPr>
              <w:tc>
                <w:tcPr>
                  <w:tcW w:w="220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20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31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劳模津贴</w:t>
                  </w:r>
                </w:p>
              </w:tc>
            </w:tr>
            <w:tr>
              <w:tblPrEx>
                <w:tblLayout w:type="fixed"/>
                <w:tblCellMar>
                  <w:top w:w="0" w:type="dxa"/>
                  <w:left w:w="0" w:type="dxa"/>
                  <w:bottom w:w="0" w:type="dxa"/>
                  <w:right w:w="0" w:type="dxa"/>
                </w:tblCellMar>
              </w:tblPrEx>
              <w:trPr>
                <w:trHeight w:val="1180" w:hRule="atLeast"/>
              </w:trPr>
              <w:tc>
                <w:tcPr>
                  <w:tcW w:w="220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31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根据福州市人民政府办公厅转发市总工会、市财政局关于提高和发放退休劳动模范荣誉津贴的通知（榕政办[2006]158号），发放劳模津贴。</w:t>
                  </w:r>
                </w:p>
              </w:tc>
            </w:tr>
            <w:tr>
              <w:tblPrEx>
                <w:tblLayout w:type="fixed"/>
                <w:tblCellMar>
                  <w:top w:w="0" w:type="dxa"/>
                  <w:left w:w="0" w:type="dxa"/>
                  <w:bottom w:w="0" w:type="dxa"/>
                  <w:right w:w="0" w:type="dxa"/>
                </w:tblCellMar>
              </w:tblPrEx>
              <w:trPr>
                <w:trHeight w:val="480" w:hRule="atLeast"/>
              </w:trPr>
              <w:tc>
                <w:tcPr>
                  <w:tcW w:w="73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70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74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0.36</w:t>
                  </w:r>
                </w:p>
              </w:tc>
              <w:tc>
                <w:tcPr>
                  <w:tcW w:w="73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840" w:hRule="atLeast"/>
              </w:trPr>
              <w:tc>
                <w:tcPr>
                  <w:tcW w:w="73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36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5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92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保障离退休干部的劳模津贴工资待遇，按月按实发放。</w:t>
                  </w:r>
                </w:p>
              </w:tc>
              <w:tc>
                <w:tcPr>
                  <w:tcW w:w="51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保障离退休干部的劳模津贴工资待遇，按月按实发放。</w:t>
                  </w:r>
                </w:p>
              </w:tc>
            </w:tr>
            <w:tr>
              <w:tblPrEx>
                <w:tblLayout w:type="fixed"/>
                <w:tblCellMar>
                  <w:top w:w="0" w:type="dxa"/>
                  <w:left w:w="0" w:type="dxa"/>
                  <w:bottom w:w="0" w:type="dxa"/>
                  <w:right w:w="0" w:type="dxa"/>
                </w:tblCellMar>
              </w:tblPrEx>
              <w:trPr>
                <w:trHeight w:val="48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84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单位享受劳模津贴人数</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资金拨付准确率</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=100百分比</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支付（结算）及时性</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资金使用率</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4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改善和提高劳模待遇完成率</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劳模服务被投诉次数</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5880"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3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480" w:hRule="atLeast"/>
              </w:trPr>
              <w:tc>
                <w:tcPr>
                  <w:tcW w:w="147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8049" w:type="dxa"/>
                  <w:gridSpan w:val="10"/>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3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549" w:type="dxa"/>
            <w:gridSpan w:val="3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2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257" w:type="dxa"/>
            <w:gridSpan w:val="2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人行业务经费</w:t>
            </w:r>
          </w:p>
        </w:tc>
      </w:tr>
      <w:tr>
        <w:tblPrEx>
          <w:tblLayout w:type="fixed"/>
          <w:tblCellMar>
            <w:top w:w="0" w:type="dxa"/>
            <w:left w:w="0" w:type="dxa"/>
            <w:bottom w:w="0" w:type="dxa"/>
            <w:right w:w="0" w:type="dxa"/>
          </w:tblCellMar>
        </w:tblPrEx>
        <w:trPr>
          <w:trHeight w:val="480" w:hRule="atLeast"/>
        </w:trPr>
        <w:tc>
          <w:tcPr>
            <w:tcW w:w="2292"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19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0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292"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25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人行业务经费</w:t>
            </w:r>
          </w:p>
        </w:tc>
      </w:tr>
      <w:tr>
        <w:tblPrEx>
          <w:tblLayout w:type="fixed"/>
          <w:tblCellMar>
            <w:top w:w="0" w:type="dxa"/>
            <w:left w:w="0" w:type="dxa"/>
            <w:bottom w:w="0" w:type="dxa"/>
            <w:right w:w="0" w:type="dxa"/>
          </w:tblCellMar>
        </w:tblPrEx>
        <w:trPr>
          <w:trHeight w:val="1580" w:hRule="atLeast"/>
        </w:trPr>
        <w:tc>
          <w:tcPr>
            <w:tcW w:w="2292"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257"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准确、及时办理预算收入的收纳、划分、留解和预算支出的拨付业务，安全、高效完成仓山区预算收支执行任务，较好支持仓山区经济发展。保障各项财税政策的落地落实，为进一步配合财税体制改革的顺利推进，确保国库工作的正常开展。</w:t>
            </w:r>
          </w:p>
        </w:tc>
      </w:tr>
      <w:tr>
        <w:tblPrEx>
          <w:tblLayout w:type="fixed"/>
          <w:tblCellMar>
            <w:top w:w="0" w:type="dxa"/>
            <w:left w:w="0" w:type="dxa"/>
            <w:bottom w:w="0" w:type="dxa"/>
            <w:right w:w="0" w:type="dxa"/>
          </w:tblCellMar>
        </w:tblPrEx>
        <w:trPr>
          <w:trHeight w:val="480" w:hRule="atLeast"/>
        </w:trPr>
        <w:tc>
          <w:tcPr>
            <w:tcW w:w="101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2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2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740" w:hRule="atLeast"/>
        </w:trPr>
        <w:tc>
          <w:tcPr>
            <w:tcW w:w="10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12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680" w:hRule="atLeast"/>
        </w:trPr>
        <w:tc>
          <w:tcPr>
            <w:tcW w:w="10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12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c>
          <w:tcPr>
            <w:tcW w:w="63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319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534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13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9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用于福州市仓山区财政局人行业务经费支出</w:t>
            </w:r>
          </w:p>
        </w:tc>
        <w:tc>
          <w:tcPr>
            <w:tcW w:w="534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准确、及时办理预算收入的收纳、划分、留解和预算支出的拨付业务，安全、高效完成仓山区预算收支执行任务，较好支持仓山区经济发展。保障各项财税政策的落地落实，为进一步配合财税体制改革的顺利推进，确保国库工作的正常开展。</w:t>
            </w:r>
          </w:p>
        </w:tc>
      </w:tr>
      <w:tr>
        <w:tblPrEx>
          <w:tblLayout w:type="fixed"/>
          <w:tblCellMar>
            <w:top w:w="0" w:type="dxa"/>
            <w:left w:w="0" w:type="dxa"/>
            <w:bottom w:w="0" w:type="dxa"/>
            <w:right w:w="0" w:type="dxa"/>
          </w:tblCellMar>
        </w:tblPrEx>
        <w:trPr>
          <w:trHeight w:val="1060" w:hRule="atLeast"/>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64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276"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27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保障覆盖率</w:t>
            </w:r>
          </w:p>
        </w:tc>
        <w:tc>
          <w:tcPr>
            <w:tcW w:w="127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资金使用合规率</w:t>
            </w:r>
          </w:p>
        </w:tc>
        <w:tc>
          <w:tcPr>
            <w:tcW w:w="127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资金下达及时率</w:t>
            </w:r>
          </w:p>
        </w:tc>
        <w:tc>
          <w:tcPr>
            <w:tcW w:w="127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投入成本</w:t>
            </w:r>
          </w:p>
        </w:tc>
        <w:tc>
          <w:tcPr>
            <w:tcW w:w="127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单位正常运转率</w:t>
            </w:r>
          </w:p>
        </w:tc>
        <w:tc>
          <w:tcPr>
            <w:tcW w:w="127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投诉量</w:t>
            </w:r>
          </w:p>
        </w:tc>
        <w:tc>
          <w:tcPr>
            <w:tcW w:w="127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≤10次</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5484" w:type="dxa"/>
            <w:gridSpan w:val="2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40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480" w:hRule="atLeast"/>
        </w:trPr>
        <w:tc>
          <w:tcPr>
            <w:tcW w:w="1653"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7896" w:type="dxa"/>
            <w:gridSpan w:val="30"/>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65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2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25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40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0" w:hRule="atLeast"/>
        </w:trPr>
        <w:tc>
          <w:tcPr>
            <w:tcW w:w="9549" w:type="dxa"/>
            <w:gridSpan w:val="3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549" w:type="dxa"/>
            <w:gridSpan w:val="3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39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151" w:type="dxa"/>
            <w:gridSpan w:val="2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信息系统运行维护费</w:t>
            </w:r>
          </w:p>
        </w:tc>
      </w:tr>
      <w:tr>
        <w:tblPrEx>
          <w:tblLayout w:type="fixed"/>
          <w:tblCellMar>
            <w:top w:w="0" w:type="dxa"/>
            <w:left w:w="0" w:type="dxa"/>
            <w:bottom w:w="0" w:type="dxa"/>
            <w:right w:w="0" w:type="dxa"/>
          </w:tblCellMar>
        </w:tblPrEx>
        <w:trPr>
          <w:trHeight w:val="480" w:hRule="atLeast"/>
        </w:trPr>
        <w:tc>
          <w:tcPr>
            <w:tcW w:w="2398"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02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7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398"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15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用于软硬件更新及维护费支出</w:t>
            </w:r>
          </w:p>
        </w:tc>
      </w:tr>
      <w:tr>
        <w:tblPrEx>
          <w:tblLayout w:type="fixed"/>
          <w:tblCellMar>
            <w:top w:w="0" w:type="dxa"/>
            <w:left w:w="0" w:type="dxa"/>
            <w:bottom w:w="0" w:type="dxa"/>
            <w:right w:w="0" w:type="dxa"/>
          </w:tblCellMar>
        </w:tblPrEx>
        <w:trPr>
          <w:trHeight w:val="699" w:hRule="atLeast"/>
        </w:trPr>
        <w:tc>
          <w:tcPr>
            <w:tcW w:w="2398"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15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单位日常办公信息系统维护需要，以保障单位日常各项工作的正常运转。</w:t>
            </w:r>
          </w:p>
        </w:tc>
      </w:tr>
      <w:tr>
        <w:tblPrEx>
          <w:tblLayout w:type="fixed"/>
          <w:tblCellMar>
            <w:top w:w="0" w:type="dxa"/>
            <w:left w:w="0" w:type="dxa"/>
            <w:bottom w:w="0" w:type="dxa"/>
            <w:right w:w="0" w:type="dxa"/>
          </w:tblCellMar>
        </w:tblPrEx>
        <w:trPr>
          <w:trHeight w:val="480" w:hRule="atLeast"/>
        </w:trPr>
        <w:tc>
          <w:tcPr>
            <w:tcW w:w="105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70.16</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93.55</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70.16</w:t>
            </w:r>
          </w:p>
        </w:tc>
        <w:tc>
          <w:tcPr>
            <w:tcW w:w="67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93.55</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336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513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13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6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单位日常办公信息系统维护需要，以保障单位日常各项工作的正常运转。</w:t>
            </w:r>
          </w:p>
        </w:tc>
        <w:tc>
          <w:tcPr>
            <w:tcW w:w="513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单位日常办公信息系统维护需要，以保障单位日常各项工作的正常运转。</w:t>
            </w:r>
          </w:p>
        </w:tc>
      </w:tr>
      <w:tr>
        <w:tblPrEx>
          <w:tblLayout w:type="fixed"/>
          <w:tblCellMar>
            <w:top w:w="0" w:type="dxa"/>
            <w:left w:w="0" w:type="dxa"/>
            <w:bottom w:w="0" w:type="dxa"/>
            <w:right w:w="0" w:type="dxa"/>
          </w:tblCellMar>
        </w:tblPrEx>
        <w:trPr>
          <w:trHeight w:val="48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674"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347"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34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9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信息系统运行数量</w:t>
            </w:r>
          </w:p>
        </w:tc>
        <w:tc>
          <w:tcPr>
            <w:tcW w:w="134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≥4台、件、辆、套等</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办公自动化覆盖率</w:t>
            </w:r>
          </w:p>
        </w:tc>
        <w:tc>
          <w:tcPr>
            <w:tcW w:w="134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系统故障修复响应时间</w:t>
            </w:r>
          </w:p>
        </w:tc>
        <w:tc>
          <w:tcPr>
            <w:tcW w:w="134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≤4小时</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预算安排资金</w:t>
            </w:r>
          </w:p>
        </w:tc>
        <w:tc>
          <w:tcPr>
            <w:tcW w:w="134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34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≥5人</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职工投诉数</w:t>
            </w:r>
          </w:p>
        </w:tc>
        <w:tc>
          <w:tcPr>
            <w:tcW w:w="134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≤10次</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5767" w:type="dxa"/>
            <w:gridSpan w:val="2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37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480" w:hRule="atLeast"/>
        </w:trPr>
        <w:tc>
          <w:tcPr>
            <w:tcW w:w="1724"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7825" w:type="dxa"/>
            <w:gridSpan w:val="2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7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26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37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0" w:hRule="atLeast"/>
        </w:trPr>
        <w:tc>
          <w:tcPr>
            <w:tcW w:w="9549" w:type="dxa"/>
            <w:gridSpan w:val="3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549" w:type="dxa"/>
            <w:gridSpan w:val="3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50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047" w:type="dxa"/>
            <w:gridSpan w:val="2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预算绩效及监督检查专项经费</w:t>
            </w:r>
          </w:p>
        </w:tc>
      </w:tr>
      <w:tr>
        <w:tblPrEx>
          <w:tblLayout w:type="fixed"/>
          <w:tblCellMar>
            <w:top w:w="0" w:type="dxa"/>
            <w:left w:w="0" w:type="dxa"/>
            <w:bottom w:w="0" w:type="dxa"/>
            <w:right w:w="0" w:type="dxa"/>
          </w:tblCellMar>
        </w:tblPrEx>
        <w:trPr>
          <w:trHeight w:val="480" w:hRule="atLeast"/>
        </w:trPr>
        <w:tc>
          <w:tcPr>
            <w:tcW w:w="2502"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1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5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502"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047"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用于重点绩效评价、会计信息质量检查、代理记账机构执业情况检查等支出</w:t>
            </w:r>
          </w:p>
        </w:tc>
      </w:tr>
      <w:tr>
        <w:tblPrEx>
          <w:tblLayout w:type="fixed"/>
          <w:tblCellMar>
            <w:top w:w="0" w:type="dxa"/>
            <w:left w:w="0" w:type="dxa"/>
            <w:bottom w:w="0" w:type="dxa"/>
            <w:right w:w="0" w:type="dxa"/>
          </w:tblCellMar>
        </w:tblPrEx>
        <w:trPr>
          <w:trHeight w:val="699" w:hRule="atLeast"/>
        </w:trPr>
        <w:tc>
          <w:tcPr>
            <w:tcW w:w="2502"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047"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完成上级部门布置的预算绩效管理、会计信息质量检查等任务，并出具相应的检查报告。</w:t>
            </w:r>
          </w:p>
        </w:tc>
      </w:tr>
      <w:tr>
        <w:tblPrEx>
          <w:tblLayout w:type="fixed"/>
          <w:tblCellMar>
            <w:top w:w="0" w:type="dxa"/>
            <w:left w:w="0" w:type="dxa"/>
            <w:bottom w:w="0" w:type="dxa"/>
            <w:right w:w="0" w:type="dxa"/>
          </w:tblCellMar>
        </w:tblPrEx>
        <w:trPr>
          <w:trHeight w:val="480" w:hRule="atLeast"/>
        </w:trPr>
        <w:tc>
          <w:tcPr>
            <w:tcW w:w="108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w:t>
            </w:r>
          </w:p>
        </w:tc>
        <w:tc>
          <w:tcPr>
            <w:tcW w:w="708"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354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9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100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4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完成上级部门布置的预算绩效管理、会计信息质量检查等任务，并出具相应的检查报告。</w:t>
            </w:r>
          </w:p>
        </w:tc>
        <w:tc>
          <w:tcPr>
            <w:tcW w:w="49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完成上级部门布置的预算绩效管理、会计信息质量检查等任务，并出具相应的检查报告。</w:t>
            </w:r>
          </w:p>
        </w:tc>
      </w:tr>
      <w:tr>
        <w:tblPrEx>
          <w:tblLayout w:type="fixed"/>
          <w:tblCellMar>
            <w:top w:w="0" w:type="dxa"/>
            <w:left w:w="0" w:type="dxa"/>
            <w:bottom w:w="0" w:type="dxa"/>
            <w:right w:w="0" w:type="dxa"/>
          </w:tblCellMar>
        </w:tblPrEx>
        <w:trPr>
          <w:trHeight w:val="480" w:hRule="atLeast"/>
        </w:trPr>
        <w:tc>
          <w:tcPr>
            <w:tcW w:w="10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708"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416"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监督检查次数</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≥2次</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资金使用合规率</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4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支付（结算）及时性</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预算安排资金</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将检查前公示</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=100分</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将检查结果公示</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=100分</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4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检查小组被投诉次数</w:t>
            </w:r>
          </w:p>
        </w:tc>
        <w:tc>
          <w:tcPr>
            <w:tcW w:w="1418"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0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6044" w:type="dxa"/>
            <w:gridSpan w:val="2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35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Layout w:type="fixed"/>
          <w:tblCellMar>
            <w:top w:w="0" w:type="dxa"/>
            <w:left w:w="0" w:type="dxa"/>
            <w:bottom w:w="0" w:type="dxa"/>
            <w:right w:w="0" w:type="dxa"/>
          </w:tblCellMar>
        </w:tblPrEx>
        <w:trPr>
          <w:trHeight w:val="480" w:hRule="atLeast"/>
        </w:trPr>
        <w:tc>
          <w:tcPr>
            <w:tcW w:w="1793"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7756" w:type="dxa"/>
            <w:gridSpan w:val="2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283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35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8"/>
        <w:widowControl/>
        <w:spacing w:before="100" w:after="100" w:line="600" w:lineRule="atLeast"/>
        <w:ind w:right="0"/>
        <w:jc w:val="left"/>
        <w:rPr>
          <w:rFonts w:hint="eastAsia" w:ascii="黑体" w:hAnsi="黑体" w:eastAsia="黑体" w:cs="黑体"/>
          <w:spacing w:val="0"/>
          <w:kern w:val="0"/>
          <w:sz w:val="32"/>
          <w:szCs w:val="32"/>
          <w:lang w:eastAsia="zh-CN"/>
        </w:rPr>
      </w:pPr>
    </w:p>
    <w:tbl>
      <w:tblPr>
        <w:tblStyle w:val="22"/>
        <w:tblW w:w="9559" w:type="dxa"/>
        <w:tblInd w:w="0" w:type="dxa"/>
        <w:shd w:val="clear" w:color="auto" w:fill="auto"/>
        <w:tblLayout w:type="fixed"/>
        <w:tblCellMar>
          <w:top w:w="0" w:type="dxa"/>
          <w:left w:w="0" w:type="dxa"/>
          <w:bottom w:w="0" w:type="dxa"/>
          <w:right w:w="0" w:type="dxa"/>
        </w:tblCellMar>
      </w:tblPr>
      <w:tblGrid>
        <w:gridCol w:w="735"/>
        <w:gridCol w:w="735"/>
        <w:gridCol w:w="735"/>
        <w:gridCol w:w="735"/>
        <w:gridCol w:w="735"/>
        <w:gridCol w:w="735"/>
        <w:gridCol w:w="735"/>
        <w:gridCol w:w="735"/>
        <w:gridCol w:w="735"/>
        <w:gridCol w:w="735"/>
        <w:gridCol w:w="735"/>
        <w:gridCol w:w="1474"/>
      </w:tblGrid>
      <w:tr>
        <w:tblPrEx>
          <w:shd w:val="clear" w:color="auto" w:fill="auto"/>
          <w:tblLayout w:type="fixed"/>
          <w:tblCellMar>
            <w:top w:w="0" w:type="dxa"/>
            <w:left w:w="0" w:type="dxa"/>
            <w:bottom w:w="0" w:type="dxa"/>
            <w:right w:w="0" w:type="dxa"/>
          </w:tblCellMar>
        </w:tblPrEx>
        <w:trPr>
          <w:trHeight w:val="450" w:hRule="atLeast"/>
        </w:trPr>
        <w:tc>
          <w:tcPr>
            <w:tcW w:w="9559"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559"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35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征迁劳务费管理业务经费</w:t>
            </w:r>
          </w:p>
        </w:tc>
      </w:tr>
      <w:tr>
        <w:tblPrEx>
          <w:tblLayout w:type="fixed"/>
          <w:tblCellMar>
            <w:top w:w="0" w:type="dxa"/>
            <w:left w:w="0" w:type="dxa"/>
            <w:bottom w:w="0" w:type="dxa"/>
            <w:right w:w="0" w:type="dxa"/>
          </w:tblCellMar>
        </w:tblPrEx>
        <w:trPr>
          <w:trHeight w:val="480" w:hRule="atLeast"/>
        </w:trPr>
        <w:tc>
          <w:tcPr>
            <w:tcW w:w="220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r>
      <w:tr>
        <w:tblPrEx>
          <w:tblLayout w:type="fixed"/>
          <w:tblCellMar>
            <w:top w:w="0" w:type="dxa"/>
            <w:left w:w="0" w:type="dxa"/>
            <w:bottom w:w="0" w:type="dxa"/>
            <w:right w:w="0" w:type="dxa"/>
          </w:tblCellMar>
        </w:tblPrEx>
        <w:trPr>
          <w:trHeight w:val="699" w:hRule="atLeast"/>
        </w:trPr>
        <w:tc>
          <w:tcPr>
            <w:tcW w:w="220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35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用于征迁工作劳务派遣人员经费支出</w:t>
            </w:r>
          </w:p>
        </w:tc>
      </w:tr>
      <w:tr>
        <w:tblPrEx>
          <w:tblLayout w:type="fixed"/>
          <w:tblCellMar>
            <w:top w:w="0" w:type="dxa"/>
            <w:left w:w="0" w:type="dxa"/>
            <w:bottom w:w="0" w:type="dxa"/>
            <w:right w:w="0" w:type="dxa"/>
          </w:tblCellMar>
        </w:tblPrEx>
        <w:trPr>
          <w:trHeight w:val="699" w:hRule="atLeast"/>
        </w:trPr>
        <w:tc>
          <w:tcPr>
            <w:tcW w:w="220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35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用于征迁工作劳务派遣人员经费支出</w:t>
            </w:r>
          </w:p>
        </w:tc>
      </w:tr>
      <w:tr>
        <w:tblPrEx>
          <w:tblLayout w:type="fixed"/>
          <w:tblCellMar>
            <w:top w:w="0" w:type="dxa"/>
            <w:left w:w="0" w:type="dxa"/>
            <w:bottom w:w="0" w:type="dxa"/>
            <w:right w:w="0" w:type="dxa"/>
          </w:tblCellMar>
        </w:tblPrEx>
        <w:trPr>
          <w:trHeight w:val="480" w:hRule="atLeast"/>
        </w:trPr>
        <w:tc>
          <w:tcPr>
            <w:tcW w:w="7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9.86</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98.60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9.86</w:t>
            </w:r>
          </w:p>
        </w:tc>
        <w:tc>
          <w:tcPr>
            <w:tcW w:w="73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98.60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36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51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8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单位日常征迁工作需要，保障该项工作正常运行。</w:t>
            </w:r>
          </w:p>
        </w:tc>
        <w:tc>
          <w:tcPr>
            <w:tcW w:w="51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单位日常征迁工作需要，保障该项工作正常运行。</w:t>
            </w:r>
          </w:p>
        </w:tc>
      </w:tr>
      <w:tr>
        <w:tblPrEx>
          <w:tblLayout w:type="fixed"/>
          <w:tblCellMar>
            <w:top w:w="0" w:type="dxa"/>
            <w:left w:w="0" w:type="dxa"/>
            <w:bottom w:w="0" w:type="dxa"/>
            <w:right w:w="0" w:type="dxa"/>
          </w:tblCellMar>
        </w:tblPrEx>
        <w:trPr>
          <w:trHeight w:val="106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支付派遣人员数量</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资金使用合规率</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支付（结算）及时性</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实际预算安排资金</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提供工作岗位</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职工投诉数</w:t>
            </w:r>
          </w:p>
        </w:tc>
        <w:tc>
          <w:tcPr>
            <w:tcW w:w="14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5880"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480" w:hRule="atLeast"/>
        </w:trPr>
        <w:tc>
          <w:tcPr>
            <w:tcW w:w="147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8089" w:type="dxa"/>
            <w:gridSpan w:val="10"/>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36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8"/>
        <w:widowControl/>
        <w:spacing w:before="100" w:after="100" w:line="600" w:lineRule="atLeast"/>
        <w:ind w:left="0" w:right="0" w:firstLine="640"/>
        <w:jc w:val="left"/>
        <w:rPr>
          <w:rFonts w:ascii="黑体" w:hAnsi="黑体" w:eastAsia="黑体" w:cs="黑体"/>
          <w:spacing w:val="0"/>
          <w:kern w:val="0"/>
          <w:sz w:val="32"/>
          <w:szCs w:val="32"/>
        </w:rPr>
      </w:pPr>
    </w:p>
    <w:tbl>
      <w:tblPr>
        <w:tblStyle w:val="22"/>
        <w:tblW w:w="9588" w:type="dxa"/>
        <w:tblInd w:w="0" w:type="dxa"/>
        <w:shd w:val="clear" w:color="auto" w:fill="auto"/>
        <w:tblLayout w:type="fixed"/>
        <w:tblCellMar>
          <w:top w:w="0" w:type="dxa"/>
          <w:left w:w="0" w:type="dxa"/>
          <w:bottom w:w="0" w:type="dxa"/>
          <w:right w:w="0" w:type="dxa"/>
        </w:tblCellMar>
      </w:tblPr>
      <w:tblGrid>
        <w:gridCol w:w="831"/>
        <w:gridCol w:w="830"/>
        <w:gridCol w:w="831"/>
        <w:gridCol w:w="849"/>
        <w:gridCol w:w="832"/>
        <w:gridCol w:w="830"/>
        <w:gridCol w:w="831"/>
        <w:gridCol w:w="832"/>
        <w:gridCol w:w="830"/>
        <w:gridCol w:w="830"/>
        <w:gridCol w:w="1262"/>
      </w:tblGrid>
      <w:tr>
        <w:tblPrEx>
          <w:shd w:val="clear" w:color="auto" w:fill="auto"/>
          <w:tblLayout w:type="fixed"/>
          <w:tblCellMar>
            <w:top w:w="0" w:type="dxa"/>
            <w:left w:w="0" w:type="dxa"/>
            <w:bottom w:w="0" w:type="dxa"/>
            <w:right w:w="0" w:type="dxa"/>
          </w:tblCellMar>
        </w:tblPrEx>
        <w:trPr>
          <w:trHeight w:val="450" w:hRule="atLeast"/>
        </w:trPr>
        <w:tc>
          <w:tcPr>
            <w:tcW w:w="9588"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专项资金绩效自评表</w:t>
            </w:r>
          </w:p>
        </w:tc>
      </w:tr>
      <w:tr>
        <w:tblPrEx>
          <w:tblLayout w:type="fixed"/>
          <w:tblCellMar>
            <w:top w:w="0" w:type="dxa"/>
            <w:left w:w="0" w:type="dxa"/>
            <w:bottom w:w="0" w:type="dxa"/>
            <w:right w:w="0" w:type="dxa"/>
          </w:tblCellMar>
        </w:tblPrEx>
        <w:trPr>
          <w:trHeight w:val="480" w:hRule="atLeast"/>
        </w:trPr>
        <w:tc>
          <w:tcPr>
            <w:tcW w:w="9588" w:type="dxa"/>
            <w:gridSpan w:val="11"/>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Layout w:type="fixed"/>
          <w:tblCellMar>
            <w:top w:w="0" w:type="dxa"/>
            <w:left w:w="0" w:type="dxa"/>
            <w:bottom w:w="0" w:type="dxa"/>
            <w:right w:w="0" w:type="dxa"/>
          </w:tblCellMar>
        </w:tblPrEx>
        <w:trPr>
          <w:trHeight w:val="480" w:hRule="atLeast"/>
        </w:trPr>
        <w:tc>
          <w:tcPr>
            <w:tcW w:w="24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09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助审专项经费</w:t>
            </w:r>
          </w:p>
        </w:tc>
      </w:tr>
      <w:tr>
        <w:tblPrEx>
          <w:tblLayout w:type="fixed"/>
          <w:tblCellMar>
            <w:top w:w="0" w:type="dxa"/>
            <w:left w:w="0" w:type="dxa"/>
            <w:bottom w:w="0" w:type="dxa"/>
            <w:right w:w="0" w:type="dxa"/>
          </w:tblCellMar>
        </w:tblPrEx>
        <w:trPr>
          <w:trHeight w:val="780" w:hRule="atLeast"/>
        </w:trPr>
        <w:tc>
          <w:tcPr>
            <w:tcW w:w="24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福州市仓山区财政局</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福州市仓山区财政投资评审中心</w:t>
            </w:r>
          </w:p>
        </w:tc>
      </w:tr>
      <w:tr>
        <w:tblPrEx>
          <w:tblLayout w:type="fixed"/>
          <w:tblCellMar>
            <w:top w:w="0" w:type="dxa"/>
            <w:left w:w="0" w:type="dxa"/>
            <w:bottom w:w="0" w:type="dxa"/>
            <w:right w:w="0" w:type="dxa"/>
          </w:tblCellMar>
        </w:tblPrEx>
        <w:trPr>
          <w:trHeight w:val="699" w:hRule="atLeast"/>
        </w:trPr>
        <w:tc>
          <w:tcPr>
            <w:tcW w:w="24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09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助审专项经费</w:t>
            </w:r>
          </w:p>
        </w:tc>
      </w:tr>
      <w:tr>
        <w:tblPrEx>
          <w:tblLayout w:type="fixed"/>
          <w:tblCellMar>
            <w:top w:w="0" w:type="dxa"/>
            <w:left w:w="0" w:type="dxa"/>
            <w:bottom w:w="0" w:type="dxa"/>
            <w:right w:w="0" w:type="dxa"/>
          </w:tblCellMar>
        </w:tblPrEx>
        <w:trPr>
          <w:trHeight w:val="699" w:hRule="atLeast"/>
        </w:trPr>
        <w:tc>
          <w:tcPr>
            <w:tcW w:w="24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709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保障工程建设项目财政投资评审相关工作顺利开展</w:t>
            </w:r>
          </w:p>
        </w:tc>
      </w:tr>
      <w:tr>
        <w:tblPrEx>
          <w:tblLayout w:type="fixed"/>
          <w:tblCellMar>
            <w:top w:w="0" w:type="dxa"/>
            <w:left w:w="0" w:type="dxa"/>
            <w:bottom w:w="0" w:type="dxa"/>
            <w:right w:w="0" w:type="dxa"/>
          </w:tblCellMar>
        </w:tblPrEx>
        <w:trPr>
          <w:trHeight w:val="48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41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4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9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保障工程建设项目财政投资评审相关工作顺利开展</w:t>
            </w:r>
          </w:p>
        </w:tc>
        <w:tc>
          <w:tcPr>
            <w:tcW w:w="4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保障工程建设项目财政投资评审相关工作顺利开展</w:t>
            </w:r>
          </w:p>
        </w:tc>
      </w:tr>
      <w:tr>
        <w:tblPrEx>
          <w:tblLayout w:type="fixed"/>
          <w:tblCellMar>
            <w:top w:w="0" w:type="dxa"/>
            <w:left w:w="0" w:type="dxa"/>
            <w:bottom w:w="0" w:type="dxa"/>
            <w:right w:w="0" w:type="dxa"/>
          </w:tblCellMar>
        </w:tblPrEx>
        <w:trPr>
          <w:trHeight w:val="48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64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出具评审报告数量</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≥200份</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321</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国库集中支付率</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评审任务完成率</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预算安排资金</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评审任务完成度</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职工投诉数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≤10次</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66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Layout w:type="fixed"/>
          <w:tblCellMar>
            <w:top w:w="0" w:type="dxa"/>
            <w:left w:w="0" w:type="dxa"/>
            <w:bottom w:w="0" w:type="dxa"/>
            <w:right w:w="0" w:type="dxa"/>
          </w:tblCellMar>
        </w:tblPrEx>
        <w:trPr>
          <w:trHeight w:val="480" w:hRule="atLeast"/>
        </w:trPr>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评价等级 </w:t>
            </w:r>
          </w:p>
        </w:tc>
        <w:tc>
          <w:tcPr>
            <w:tcW w:w="79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优（S≧90）</w:t>
            </w:r>
          </w:p>
        </w:tc>
      </w:tr>
      <w:tr>
        <w:tblPrEx>
          <w:tblLayout w:type="fixed"/>
          <w:tblCellMar>
            <w:top w:w="0" w:type="dxa"/>
            <w:left w:w="0" w:type="dxa"/>
            <w:bottom w:w="0" w:type="dxa"/>
            <w:right w:w="0" w:type="dxa"/>
          </w:tblCellMar>
        </w:tblPrEx>
        <w:trPr>
          <w:trHeight w:val="441" w:hRule="atLeast"/>
        </w:trPr>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问题与建议（每条问题和建议不少于30个字）</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问题类型</w:t>
            </w:r>
          </w:p>
        </w:tc>
        <w:tc>
          <w:tcPr>
            <w:tcW w:w="33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存在问题</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改进建议</w:t>
            </w:r>
          </w:p>
        </w:tc>
      </w:tr>
      <w:tr>
        <w:tblPrEx>
          <w:tblLayout w:type="fixed"/>
          <w:tblCellMar>
            <w:top w:w="0" w:type="dxa"/>
            <w:left w:w="0" w:type="dxa"/>
            <w:bottom w:w="0" w:type="dxa"/>
            <w:right w:w="0" w:type="dxa"/>
          </w:tblCellMar>
        </w:tblPrEx>
        <w:trPr>
          <w:trHeight w:val="639"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8"/>
        <w:widowControl/>
        <w:spacing w:before="100" w:after="100" w:line="600" w:lineRule="atLeast"/>
        <w:ind w:left="0" w:right="0" w:firstLine="640"/>
        <w:jc w:val="left"/>
        <w:rPr>
          <w:rFonts w:ascii="黑体" w:hAnsi="黑体" w:eastAsia="黑体" w:cs="黑体"/>
          <w:spacing w:val="0"/>
          <w:kern w:val="0"/>
          <w:sz w:val="32"/>
          <w:szCs w:val="32"/>
        </w:rPr>
      </w:pPr>
    </w:p>
    <w:p>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黑体" w:hAnsi="黑体" w:eastAsia="黑体" w:cs="黑体"/>
          <w:spacing w:val="0"/>
          <w:kern w:val="0"/>
          <w:sz w:val="32"/>
          <w:szCs w:val="32"/>
        </w:rPr>
        <w:t>二、项目支出绩效评价报告</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征迁劳务费管理业务经费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用于征迁工作劳务派遣人员经费支出</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用于征迁工作劳务派遣人员经费支出</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1)实际预算安排资金</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1)支付派遣人员数量</w:t>
      </w:r>
      <w:r>
        <w:rPr>
          <w:rFonts w:ascii="仿宋" w:hAnsi="仿宋" w:eastAsia="仿宋" w:cs="仿宋"/>
          <w:sz w:val="32"/>
        </w:rPr>
        <w:t>(人)，目标值1，完成值1，分值15，得分15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1)资金使用合规率</w:t>
      </w:r>
      <w:r>
        <w:rPr>
          <w:rFonts w:ascii="仿宋" w:hAnsi="仿宋" w:eastAsia="仿宋" w:cs="仿宋"/>
          <w:sz w:val="32"/>
        </w:rPr>
        <w:t>(%)，目标值95，完成值100，分值15，得分15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1)支付（结算）及时性</w:t>
      </w:r>
      <w:r>
        <w:rPr>
          <w:rFonts w:ascii="仿宋" w:hAnsi="仿宋" w:eastAsia="仿宋" w:cs="仿宋"/>
          <w:sz w:val="32"/>
        </w:rPr>
        <w:t>(%)，目标值95，完成值100，分值10，得分10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1)提供工作岗位</w:t>
      </w:r>
      <w:r>
        <w:rPr>
          <w:rFonts w:ascii="仿宋" w:hAnsi="仿宋" w:eastAsia="仿宋" w:cs="仿宋"/>
          <w:sz w:val="32"/>
        </w:rPr>
        <w:t>(个)，目标值1，完成值1，分值30，得分30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1)职工投诉数</w:t>
      </w:r>
      <w:r>
        <w:rPr>
          <w:rFonts w:ascii="仿宋" w:hAnsi="仿宋" w:eastAsia="仿宋" w:cs="仿宋"/>
          <w:sz w:val="32"/>
        </w:rPr>
        <w:t>(次)，目标值5，完成值0，分值10，得分10</w:t>
      </w:r>
      <w:r>
        <w:rPr>
          <w:rFonts w:hint="eastAsia" w:ascii="仿宋" w:hAnsi="仿宋" w:eastAsia="仿宋"/>
          <w:sz w:val="32"/>
          <w:szCs w:val="32"/>
        </w:rPr>
        <w:t>。</w:t>
      </w:r>
    </w:p>
    <w:p>
      <w:pPr>
        <w:tabs>
          <w:tab w:val="left" w:pos="2244"/>
        </w:tabs>
        <w:spacing w:line="620" w:lineRule="exact"/>
        <w:ind w:left="1890" w:leftChars="900"/>
        <w:rPr>
          <w:rFonts w:ascii="仿宋" w:hAnsi="仿宋" w:eastAsia="仿宋"/>
          <w:b/>
          <w:color w:val="FF0000"/>
          <w:sz w:val="32"/>
          <w:szCs w:val="32"/>
        </w:rPr>
      </w:pP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numPr>
          <w:ilvl w:val="0"/>
          <w:numId w:val="1"/>
        </w:numPr>
        <w:ind w:firstLine="630" w:firstLineChars="196"/>
        <w:rPr>
          <w:rFonts w:hint="eastAsia" w:ascii="仿宋" w:hAnsi="仿宋" w:eastAsia="仿宋"/>
          <w:b/>
          <w:sz w:val="32"/>
          <w:szCs w:val="32"/>
        </w:rPr>
      </w:pPr>
      <w:r>
        <w:rPr>
          <w:rFonts w:hint="eastAsia" w:ascii="仿宋" w:hAnsi="仿宋" w:eastAsia="仿宋"/>
          <w:b/>
          <w:sz w:val="32"/>
          <w:szCs w:val="32"/>
        </w:rPr>
        <w:t>改进措施</w:t>
      </w:r>
    </w:p>
    <w:p>
      <w:pPr>
        <w:numPr>
          <w:ilvl w:val="0"/>
          <w:numId w:val="0"/>
        </w:numPr>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无</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信息系统运行维护费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用于软硬件更新及维护费支出</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单位日常办公信息系统维护需要，以保障单位日常各项工作的正常运转。</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1)预算安排资金</w:t>
      </w:r>
      <w:r>
        <w:rPr>
          <w:rFonts w:ascii="仿宋" w:hAnsi="仿宋" w:eastAsia="仿宋" w:cs="仿宋"/>
          <w:sz w:val="32"/>
        </w:rPr>
        <w:t>(%)，目标值95，完成值100，分值10，得分10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1)信息系统运行数量</w:t>
      </w:r>
      <w:r>
        <w:rPr>
          <w:rFonts w:ascii="仿宋" w:hAnsi="仿宋" w:eastAsia="仿宋" w:cs="仿宋"/>
          <w:sz w:val="32"/>
        </w:rPr>
        <w:t>(台、件、辆、套等)，目标值4，完成值4，分值10，得分10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1)办公自动化覆盖率</w:t>
      </w:r>
      <w:r>
        <w:rPr>
          <w:rFonts w:ascii="仿宋" w:hAnsi="仿宋" w:eastAsia="仿宋" w:cs="仿宋"/>
          <w:sz w:val="32"/>
        </w:rPr>
        <w:t>(%)，目标值60，完成值60，分值15，得分15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1)系统故障修复响应时间</w:t>
      </w:r>
      <w:r>
        <w:rPr>
          <w:rFonts w:ascii="仿宋" w:hAnsi="仿宋" w:eastAsia="仿宋" w:cs="仿宋"/>
          <w:sz w:val="32"/>
        </w:rPr>
        <w:t>(小时)，目标值4，完成值0，分值15，得分15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1)受益人数</w:t>
      </w:r>
      <w:r>
        <w:rPr>
          <w:rFonts w:ascii="仿宋" w:hAnsi="仿宋" w:eastAsia="仿宋" w:cs="仿宋"/>
          <w:sz w:val="32"/>
        </w:rPr>
        <w:t>(人)，目标值5，完成值5，分值30，得分30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1)职工投诉数</w:t>
      </w:r>
      <w:r>
        <w:rPr>
          <w:rFonts w:ascii="仿宋" w:hAnsi="仿宋" w:eastAsia="仿宋" w:cs="仿宋"/>
          <w:sz w:val="32"/>
        </w:rPr>
        <w:t>(次)，目标值10，完成值0，分值10，得分10</w:t>
      </w:r>
      <w:r>
        <w:rPr>
          <w:rFonts w:hint="eastAsia" w:ascii="仿宋" w:hAnsi="仿宋" w:eastAsia="仿宋"/>
          <w:sz w:val="32"/>
          <w:szCs w:val="32"/>
        </w:rPr>
        <w:t>。</w:t>
      </w:r>
    </w:p>
    <w:p>
      <w:pPr>
        <w:tabs>
          <w:tab w:val="left" w:pos="2244"/>
        </w:tabs>
        <w:spacing w:line="620" w:lineRule="exact"/>
        <w:ind w:left="1890" w:leftChars="900"/>
        <w:rPr>
          <w:rFonts w:ascii="仿宋" w:hAnsi="仿宋" w:eastAsia="仿宋"/>
          <w:b/>
          <w:color w:val="FF0000"/>
          <w:sz w:val="32"/>
          <w:szCs w:val="32"/>
        </w:rPr>
      </w:pP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numPr>
          <w:ilvl w:val="0"/>
          <w:numId w:val="0"/>
        </w:numPr>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改进措施</w:t>
      </w:r>
    </w:p>
    <w:p>
      <w:pPr>
        <w:numPr>
          <w:ilvl w:val="0"/>
          <w:numId w:val="0"/>
        </w:numPr>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无</w:t>
      </w:r>
    </w:p>
    <w:p>
      <w:pPr>
        <w:ind w:firstLine="420"/>
        <w:jc w:val="center"/>
        <w:rPr>
          <w:rFonts w:hint="eastAsia" w:ascii="宋体" w:hAnsi="宋体" w:cs="仿宋"/>
          <w:b/>
          <w:sz w:val="44"/>
          <w:szCs w:val="44"/>
        </w:rPr>
      </w:pP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劳模津贴</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劳模津贴</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根据福州市人民政府办公厅转发市总工会、市财政局关于提高和发放退休劳动模范荣誉津贴的通知（榕政办[2006]158号），发放劳模津贴。</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1)资金使用率</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1)单位享受劳模津贴人数</w:t>
      </w:r>
      <w:r>
        <w:rPr>
          <w:rFonts w:ascii="仿宋" w:hAnsi="仿宋" w:eastAsia="仿宋" w:cs="仿宋"/>
          <w:sz w:val="32"/>
        </w:rPr>
        <w:t>(人)，目标值2，完成值2，分值15，得分15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1)资金拨付准确率</w:t>
      </w:r>
      <w:r>
        <w:rPr>
          <w:rFonts w:ascii="仿宋" w:hAnsi="仿宋" w:eastAsia="仿宋" w:cs="仿宋"/>
          <w:sz w:val="32"/>
        </w:rPr>
        <w:t>(百分比)，目标值100，完成值100，分值15，得分15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1)支付（结算）及时性</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1)改善和提高劳模待遇完成率</w:t>
      </w:r>
      <w:r>
        <w:rPr>
          <w:rFonts w:ascii="仿宋" w:hAnsi="仿宋" w:eastAsia="仿宋" w:cs="仿宋"/>
          <w:sz w:val="32"/>
        </w:rPr>
        <w:t>(%)，目标值100，完成值100，分值30，得分30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pStyle w:val="28"/>
        <w:widowControl/>
        <w:spacing w:before="100" w:after="100" w:line="600" w:lineRule="atLeast"/>
        <w:ind w:left="0" w:right="0" w:firstLine="640"/>
        <w:jc w:val="left"/>
        <w:rPr>
          <w:rFonts w:hint="eastAsia" w:ascii="仿宋" w:hAnsi="仿宋" w:eastAsia="仿宋"/>
          <w:sz w:val="32"/>
          <w:szCs w:val="32"/>
        </w:rPr>
      </w:pPr>
      <w:r>
        <w:rPr>
          <w:rFonts w:ascii="仿宋_GB2312" w:hAnsi="仿宋_GB2312" w:eastAsia="仿宋_GB2312" w:cs="仿宋_GB2312"/>
          <w:sz w:val="32"/>
        </w:rPr>
        <w:t>1)劳模服务被投诉次数</w:t>
      </w:r>
      <w:r>
        <w:rPr>
          <w:rFonts w:ascii="仿宋" w:hAnsi="仿宋" w:eastAsia="仿宋" w:cs="仿宋"/>
          <w:sz w:val="32"/>
        </w:rPr>
        <w:t>(次)，目标值4，完成值0，分值10，得分10</w:t>
      </w:r>
      <w:r>
        <w:rPr>
          <w:rFonts w:hint="eastAsia" w:ascii="仿宋" w:hAnsi="仿宋" w:eastAsia="仿宋"/>
          <w:sz w:val="32"/>
          <w:szCs w:val="32"/>
        </w:rPr>
        <w:t>。</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numPr>
          <w:ilvl w:val="0"/>
          <w:numId w:val="0"/>
        </w:numPr>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改进措施</w:t>
      </w:r>
    </w:p>
    <w:p>
      <w:pPr>
        <w:numPr>
          <w:ilvl w:val="0"/>
          <w:numId w:val="0"/>
        </w:numPr>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无</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法律顾问专项经费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用于法律顾问工作专项经费支出</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用于法律顾问工作专项经费支出</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90分，等级为优，设置绩效目标7个，实际完成7个，具体情况如下：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1)实际预算安排资金</w:t>
      </w:r>
      <w:r>
        <w:rPr>
          <w:rFonts w:ascii="仿宋" w:hAnsi="仿宋" w:eastAsia="仿宋" w:cs="仿宋"/>
          <w:sz w:val="32"/>
        </w:rPr>
        <w:t>(%)，目标值95，完成值100，分值10，得分10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1)聘请律所数量</w:t>
      </w:r>
      <w:r>
        <w:rPr>
          <w:rFonts w:ascii="仿宋" w:hAnsi="仿宋" w:eastAsia="仿宋" w:cs="仿宋"/>
          <w:sz w:val="32"/>
        </w:rPr>
        <w:t>(个)，目标值1，完成值1，分值10，得分10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2)签订合同（协议）数量</w:t>
      </w:r>
      <w:r>
        <w:rPr>
          <w:rFonts w:ascii="仿宋" w:hAnsi="仿宋" w:eastAsia="仿宋" w:cs="仿宋"/>
          <w:sz w:val="32"/>
        </w:rPr>
        <w:t>(份)，目标值3，完成值16，分值10，得分10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1)资金使用合规率</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1)支付（结算）及时性</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1)规范性文件合法性审查率</w:t>
      </w:r>
      <w:r>
        <w:rPr>
          <w:rFonts w:ascii="仿宋" w:hAnsi="仿宋" w:eastAsia="仿宋" w:cs="仿宋"/>
          <w:sz w:val="32"/>
        </w:rPr>
        <w:t>(%)，目标值100，完成值100，分值30，得分30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pStyle w:val="28"/>
        <w:widowControl/>
        <w:spacing w:before="100" w:after="100" w:line="600" w:lineRule="atLeast"/>
        <w:ind w:left="0" w:right="0" w:firstLine="640"/>
        <w:jc w:val="left"/>
        <w:rPr>
          <w:rFonts w:hint="eastAsia" w:ascii="仿宋" w:hAnsi="仿宋" w:eastAsia="仿宋"/>
          <w:sz w:val="32"/>
          <w:szCs w:val="32"/>
        </w:rPr>
      </w:pPr>
      <w:r>
        <w:rPr>
          <w:rFonts w:ascii="仿宋_GB2312" w:hAnsi="仿宋_GB2312" w:eastAsia="仿宋_GB2312" w:cs="仿宋_GB2312"/>
          <w:sz w:val="32"/>
        </w:rPr>
        <w:t>1)职工投诉数</w:t>
      </w:r>
      <w:r>
        <w:rPr>
          <w:rFonts w:ascii="仿宋" w:hAnsi="仿宋" w:eastAsia="仿宋" w:cs="仿宋"/>
          <w:sz w:val="32"/>
        </w:rPr>
        <w:t>(次)，目标值6，完成值0，分值10，得分10</w:t>
      </w:r>
      <w:r>
        <w:rPr>
          <w:rFonts w:hint="eastAsia" w:ascii="仿宋" w:hAnsi="仿宋" w:eastAsia="仿宋"/>
          <w:sz w:val="32"/>
          <w:szCs w:val="32"/>
        </w:rPr>
        <w:t>。</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numPr>
          <w:ilvl w:val="0"/>
          <w:numId w:val="0"/>
        </w:numPr>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改进措施</w:t>
      </w:r>
    </w:p>
    <w:p>
      <w:pPr>
        <w:numPr>
          <w:ilvl w:val="0"/>
          <w:numId w:val="0"/>
        </w:numPr>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无</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预算绩效及监督检查专项经费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用于重点绩效评价、会计信息质量检查、代理记账机构执业情况检查等支出</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完成上级部门布置的预算绩效管理、会计信息质量检查等任务，并出具相应的检查报告。</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90分，等级为优，设置绩效目标7个，实际完成7个，具体情况如下：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1)预算安排资金</w:t>
      </w:r>
      <w:r>
        <w:rPr>
          <w:rFonts w:ascii="仿宋" w:hAnsi="仿宋" w:eastAsia="仿宋" w:cs="仿宋"/>
          <w:sz w:val="32"/>
        </w:rPr>
        <w:t>(%)，目标值95，完成值100，分值10，得分10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1)监督检查次数</w:t>
      </w:r>
      <w:r>
        <w:rPr>
          <w:rFonts w:ascii="仿宋" w:hAnsi="仿宋" w:eastAsia="仿宋" w:cs="仿宋"/>
          <w:sz w:val="32"/>
        </w:rPr>
        <w:t>(次)，目标值2，完成值2，分值10，得分10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1)资金使用合规率</w:t>
      </w:r>
      <w:r>
        <w:rPr>
          <w:rFonts w:ascii="仿宋" w:hAnsi="仿宋" w:eastAsia="仿宋" w:cs="仿宋"/>
          <w:sz w:val="32"/>
        </w:rPr>
        <w:t>(%)，目标值95，完成值100，分值15，得分15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1)支付（结算）及时性</w:t>
      </w:r>
      <w:r>
        <w:rPr>
          <w:rFonts w:ascii="仿宋" w:hAnsi="仿宋" w:eastAsia="仿宋" w:cs="仿宋"/>
          <w:sz w:val="32"/>
        </w:rPr>
        <w:t>(%)，目标值1，完成值1，分值15，得分15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1)将检查前公示</w:t>
      </w:r>
      <w:r>
        <w:rPr>
          <w:rFonts w:ascii="仿宋" w:hAnsi="仿宋" w:eastAsia="仿宋" w:cs="仿宋"/>
          <w:sz w:val="32"/>
        </w:rPr>
        <w:t>(分)，目标值100，完成值100，分值15，得分15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2)将检查结果公示</w:t>
      </w:r>
      <w:r>
        <w:rPr>
          <w:rFonts w:ascii="仿宋" w:hAnsi="仿宋" w:eastAsia="仿宋" w:cs="仿宋"/>
          <w:sz w:val="32"/>
        </w:rPr>
        <w:t>(分)，目标值100，完成值100，分值15，得分15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1)检查小组被投诉次数</w:t>
      </w:r>
      <w:r>
        <w:rPr>
          <w:rFonts w:ascii="仿宋" w:hAnsi="仿宋" w:eastAsia="仿宋" w:cs="仿宋"/>
          <w:sz w:val="32"/>
        </w:rPr>
        <w:t>(次)，目标值1，完成值0，分值10，得分10</w:t>
      </w:r>
      <w:r>
        <w:rPr>
          <w:rFonts w:hint="eastAsia" w:ascii="仿宋" w:hAnsi="仿宋" w:eastAsia="仿宋"/>
          <w:sz w:val="32"/>
          <w:szCs w:val="32"/>
        </w:rPr>
        <w:t>。</w:t>
      </w:r>
    </w:p>
    <w:p>
      <w:pPr>
        <w:tabs>
          <w:tab w:val="left" w:pos="2244"/>
        </w:tabs>
        <w:spacing w:line="620" w:lineRule="exact"/>
        <w:ind w:left="1890" w:leftChars="900"/>
        <w:rPr>
          <w:rFonts w:ascii="仿宋" w:hAnsi="仿宋" w:eastAsia="仿宋"/>
          <w:b/>
          <w:color w:val="FF0000"/>
          <w:sz w:val="32"/>
          <w:szCs w:val="32"/>
        </w:rPr>
      </w:pP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pPr>
        <w:pStyle w:val="28"/>
        <w:widowControl/>
        <w:spacing w:before="100" w:after="100" w:line="600" w:lineRule="atLeast"/>
        <w:ind w:left="0" w:right="0" w:firstLine="640"/>
        <w:jc w:val="left"/>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无</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助审专项经费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助审专项经费</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保障工程建设项目财政投资评审相关工作顺利开展</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90分，等级为优，设置绩效目标6个，实际完成6个，具体情况如下：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1)预算安排资金</w:t>
      </w:r>
      <w:r>
        <w:rPr>
          <w:rFonts w:ascii="仿宋" w:hAnsi="仿宋" w:eastAsia="仿宋" w:cs="仿宋"/>
          <w:sz w:val="32"/>
        </w:rPr>
        <w:t>(%)，目标值80，完成值100，分值10，得分10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1)出具评审报告数量</w:t>
      </w:r>
      <w:r>
        <w:rPr>
          <w:rFonts w:ascii="仿宋" w:hAnsi="仿宋" w:eastAsia="仿宋" w:cs="仿宋"/>
          <w:sz w:val="32"/>
        </w:rPr>
        <w:t>(份)，目标值200，完成值321，分值15，得分15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1)国库集中支付率</w:t>
      </w:r>
      <w:r>
        <w:rPr>
          <w:rFonts w:ascii="仿宋" w:hAnsi="仿宋" w:eastAsia="仿宋" w:cs="仿宋"/>
          <w:sz w:val="32"/>
        </w:rPr>
        <w:t>(%)，目标值90，完成值100，分值15，得分15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1)评审任务完成率</w:t>
      </w:r>
      <w:r>
        <w:rPr>
          <w:rFonts w:ascii="仿宋" w:hAnsi="仿宋" w:eastAsia="仿宋" w:cs="仿宋"/>
          <w:sz w:val="32"/>
        </w:rPr>
        <w:t>(%)，目标值80，完成值100，分值10，得分10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1)评审任务完成度</w:t>
      </w:r>
      <w:r>
        <w:rPr>
          <w:rFonts w:ascii="仿宋" w:hAnsi="仿宋" w:eastAsia="仿宋" w:cs="仿宋"/>
          <w:sz w:val="32"/>
        </w:rPr>
        <w:t>(%)，目标值20，完成值100，分值30，得分30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1)职工投诉数</w:t>
      </w:r>
      <w:r>
        <w:rPr>
          <w:rFonts w:ascii="仿宋" w:hAnsi="仿宋" w:eastAsia="仿宋" w:cs="仿宋"/>
          <w:sz w:val="32"/>
        </w:rPr>
        <w:t>(次)，目标值10，完成值0，分值10，得分10</w:t>
      </w:r>
      <w:r>
        <w:rPr>
          <w:rFonts w:hint="eastAsia" w:ascii="仿宋" w:hAnsi="仿宋" w:eastAsia="仿宋"/>
          <w:sz w:val="32"/>
          <w:szCs w:val="32"/>
        </w:rPr>
        <w:t>。</w:t>
      </w:r>
    </w:p>
    <w:p>
      <w:pPr>
        <w:tabs>
          <w:tab w:val="left" w:pos="2244"/>
        </w:tabs>
        <w:spacing w:line="620" w:lineRule="exact"/>
        <w:ind w:left="1890" w:leftChars="900"/>
        <w:rPr>
          <w:rFonts w:ascii="仿宋" w:hAnsi="仿宋" w:eastAsia="仿宋"/>
          <w:b/>
          <w:color w:val="FF0000"/>
          <w:sz w:val="32"/>
          <w:szCs w:val="32"/>
        </w:rPr>
      </w:pP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ind w:firstLine="630" w:firstLineChars="196"/>
        <w:rPr>
          <w:rFonts w:hint="eastAsia" w:ascii="仿宋" w:hAnsi="仿宋" w:eastAsia="仿宋"/>
          <w:b/>
          <w:sz w:val="32"/>
          <w:szCs w:val="32"/>
        </w:rPr>
      </w:pPr>
      <w:r>
        <w:rPr>
          <w:rFonts w:hint="eastAsia" w:ascii="仿宋" w:hAnsi="仿宋" w:eastAsia="仿宋"/>
          <w:b/>
          <w:sz w:val="32"/>
          <w:szCs w:val="32"/>
        </w:rPr>
        <w:t>（二）改进措施</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人行业务经费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人行业务经费</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准确、及时办理预算收入的收纳、划分、留解和预算支出的拨付业务，安全、高效完成仓山区预算收支执行任务，较好支持仓山区经济发展。保障各项财税政策的落地落实，为进一步配合财税体制改革的顺利推进，确保国库工作的正常开展。</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1)投入成本</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1)保障覆盖率</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1)资金使用合规率</w:t>
      </w:r>
      <w:r>
        <w:rPr>
          <w:rFonts w:ascii="仿宋" w:hAnsi="仿宋" w:eastAsia="仿宋" w:cs="仿宋"/>
          <w:sz w:val="32"/>
        </w:rPr>
        <w:t>(%)，目标值100，完成值100，分值15，得分15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1)资金下达及时率</w:t>
      </w:r>
      <w:r>
        <w:rPr>
          <w:rFonts w:ascii="仿宋" w:hAnsi="仿宋" w:eastAsia="仿宋" w:cs="仿宋"/>
          <w:sz w:val="32"/>
        </w:rPr>
        <w:t>(%)，目标值100，完成值100，分值15，得分15</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1)单位正常运转率</w:t>
      </w:r>
      <w:r>
        <w:rPr>
          <w:rFonts w:ascii="仿宋" w:hAnsi="仿宋" w:eastAsia="仿宋" w:cs="仿宋"/>
          <w:sz w:val="32"/>
        </w:rPr>
        <w:t>(%)，目标值100，完成值100，分值30，得分30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1)投诉量</w:t>
      </w:r>
      <w:r>
        <w:rPr>
          <w:rFonts w:ascii="仿宋" w:hAnsi="仿宋" w:eastAsia="仿宋" w:cs="仿宋"/>
          <w:sz w:val="32"/>
        </w:rPr>
        <w:t>(次)，目标值10，完成值0，分值10，得分10</w:t>
      </w:r>
      <w:r>
        <w:rPr>
          <w:rFonts w:hint="eastAsia" w:ascii="仿宋" w:hAnsi="仿宋" w:eastAsia="仿宋"/>
          <w:sz w:val="32"/>
          <w:szCs w:val="32"/>
        </w:rPr>
        <w:t>。</w:t>
      </w:r>
    </w:p>
    <w:p>
      <w:pPr>
        <w:tabs>
          <w:tab w:val="left" w:pos="2244"/>
        </w:tabs>
        <w:spacing w:line="620" w:lineRule="exact"/>
        <w:ind w:left="1890" w:leftChars="900"/>
        <w:rPr>
          <w:rFonts w:ascii="仿宋" w:hAnsi="仿宋" w:eastAsia="仿宋"/>
          <w:b/>
          <w:color w:val="FF0000"/>
          <w:sz w:val="32"/>
          <w:szCs w:val="32"/>
        </w:rPr>
      </w:pP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hint="eastAsia" w:ascii="仿宋" w:hAnsi="仿宋" w:eastAsia="仿宋"/>
          <w:b/>
          <w:sz w:val="32"/>
          <w:szCs w:val="32"/>
        </w:rPr>
      </w:pPr>
      <w:r>
        <w:rPr>
          <w:rFonts w:hint="eastAsia" w:ascii="仿宋" w:hAnsi="仿宋" w:eastAsia="仿宋"/>
          <w:b/>
          <w:sz w:val="32"/>
          <w:szCs w:val="32"/>
        </w:rPr>
        <w:t>（一）主要问题</w:t>
      </w:r>
    </w:p>
    <w:p>
      <w:pPr>
        <w:ind w:firstLine="630" w:firstLineChars="196"/>
        <w:rPr>
          <w:rFonts w:hint="eastAsia" w:ascii="仿宋" w:hAnsi="仿宋" w:eastAsia="仿宋"/>
          <w:b/>
          <w:sz w:val="32"/>
          <w:szCs w:val="32"/>
          <w:lang w:eastAsia="zh-CN"/>
        </w:rPr>
      </w:pPr>
      <w:r>
        <w:rPr>
          <w:rFonts w:hint="eastAsia" w:ascii="仿宋" w:hAnsi="仿宋" w:eastAsia="仿宋"/>
          <w:b/>
          <w:sz w:val="32"/>
          <w:szCs w:val="32"/>
          <w:lang w:eastAsia="zh-CN"/>
        </w:rPr>
        <w:t>无</w:t>
      </w:r>
    </w:p>
    <w:p>
      <w:pPr>
        <w:pStyle w:val="28"/>
        <w:widowControl/>
        <w:spacing w:before="100" w:after="100" w:line="600" w:lineRule="atLeast"/>
        <w:ind w:left="0" w:right="0" w:firstLine="640"/>
        <w:jc w:val="left"/>
        <w:rPr>
          <w:rFonts w:hint="eastAsia" w:ascii="仿宋" w:hAnsi="仿宋" w:eastAsia="仿宋"/>
          <w:b/>
          <w:sz w:val="32"/>
          <w:szCs w:val="32"/>
        </w:rPr>
      </w:pPr>
      <w:r>
        <w:rPr>
          <w:rFonts w:hint="eastAsia" w:ascii="仿宋" w:hAnsi="仿宋" w:eastAsia="仿宋"/>
          <w:b/>
          <w:sz w:val="32"/>
          <w:szCs w:val="32"/>
        </w:rPr>
        <w:t>（二）改进措施</w:t>
      </w:r>
    </w:p>
    <w:p>
      <w:pPr>
        <w:pStyle w:val="28"/>
        <w:widowControl/>
        <w:spacing w:before="100" w:after="100" w:line="600" w:lineRule="atLeast"/>
        <w:ind w:left="0" w:right="0" w:firstLine="640"/>
        <w:jc w:val="left"/>
        <w:rPr>
          <w:rFonts w:hint="eastAsia" w:ascii="仿宋" w:hAnsi="仿宋" w:eastAsia="仿宋"/>
          <w:b/>
          <w:sz w:val="32"/>
          <w:szCs w:val="32"/>
          <w:lang w:eastAsia="zh-CN"/>
        </w:rPr>
      </w:pPr>
      <w:r>
        <w:rPr>
          <w:rFonts w:hint="eastAsia" w:ascii="仿宋" w:hAnsi="仿宋" w:eastAsia="仿宋"/>
          <w:b/>
          <w:sz w:val="32"/>
          <w:szCs w:val="32"/>
          <w:lang w:eastAsia="zh-CN"/>
        </w:rPr>
        <w:t>无</w:t>
      </w:r>
    </w:p>
    <w:p>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区级预算项目绩效自评报告</w:t>
      </w:r>
    </w:p>
    <w:p>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2023年度财政监督检查专项经费</w:t>
      </w:r>
      <w:r>
        <w:rPr>
          <w:rFonts w:hint="eastAsia" w:ascii="仿宋" w:hAnsi="仿宋" w:eastAsia="仿宋"/>
          <w:sz w:val="32"/>
          <w:szCs w:val="32"/>
        </w:rPr>
        <w:t>）</w:t>
      </w:r>
    </w:p>
    <w:p>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pPr>
        <w:ind w:firstLine="643" w:firstLineChars="200"/>
        <w:rPr>
          <w:rFonts w:ascii="仿宋" w:hAnsi="仿宋" w:eastAsia="仿宋"/>
          <w:sz w:val="32"/>
          <w:szCs w:val="32"/>
        </w:rPr>
      </w:pPr>
      <w:r>
        <w:rPr>
          <w:rFonts w:hint="eastAsia" w:ascii="仿宋" w:hAnsi="仿宋" w:eastAsia="仿宋"/>
          <w:b/>
          <w:sz w:val="32"/>
          <w:szCs w:val="32"/>
        </w:rPr>
        <w:t>（一）项目概况</w:t>
      </w:r>
    </w:p>
    <w:p>
      <w:pPr>
        <w:ind w:firstLine="1472" w:firstLineChars="460"/>
        <w:rPr>
          <w:rFonts w:ascii="仿宋" w:hAnsi="仿宋" w:eastAsia="仿宋"/>
          <w:sz w:val="32"/>
          <w:szCs w:val="32"/>
        </w:rPr>
      </w:pPr>
      <w:r>
        <w:rPr>
          <w:rFonts w:hint="eastAsia" w:ascii="仿宋" w:hAnsi="仿宋" w:eastAsia="仿宋"/>
          <w:sz w:val="32"/>
          <w:szCs w:val="32"/>
        </w:rPr>
        <w:t>财政监督检查、财政内部控制建设、预决算公开检查以及协助开展专项资金检查等（榕财行（指）〔2024〕86 号）政府经济分类50299其他商品和服务支出；部门预算经济分类30299其他商品和服务支出</w:t>
      </w:r>
      <w:r>
        <w:rPr>
          <w:rFonts w:ascii="仿宋" w:hAnsi="仿宋" w:eastAsia="仿宋" w:cs="仿宋"/>
          <w:sz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（二）主要成效</w:t>
      </w:r>
    </w:p>
    <w:p>
      <w:pPr>
        <w:ind w:firstLine="1472" w:firstLineChars="460"/>
        <w:rPr>
          <w:rFonts w:ascii="仿宋" w:hAnsi="仿宋" w:eastAsia="仿宋"/>
          <w:sz w:val="32"/>
          <w:szCs w:val="32"/>
        </w:rPr>
      </w:pPr>
      <w:r>
        <w:rPr>
          <w:rFonts w:hint="eastAsia" w:ascii="仿宋" w:hAnsi="仿宋" w:eastAsia="仿宋"/>
          <w:sz w:val="32"/>
          <w:szCs w:val="32"/>
        </w:rPr>
        <w:t>完成上级部门布置的预算绩效管理、会计信息质量检查等任务，并出具相应的检查报告。</w:t>
      </w: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60分，等级为中，设置绩效目标7个，实际完成6个，具体情况如下：</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1)投入检查人员数</w:t>
      </w:r>
      <w:r>
        <w:rPr>
          <w:rFonts w:ascii="仿宋" w:hAnsi="仿宋" w:eastAsia="仿宋" w:cs="仿宋"/>
          <w:sz w:val="32"/>
        </w:rPr>
        <w:t>(人)，目标值2，完成值2，分值10，得分10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1)检查单位数</w:t>
      </w:r>
      <w:r>
        <w:rPr>
          <w:rFonts w:ascii="仿宋" w:hAnsi="仿宋" w:eastAsia="仿宋" w:cs="仿宋"/>
          <w:sz w:val="32"/>
        </w:rPr>
        <w:t>(家)，目标值3，完成值3，分值10，得分10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1)查前公示率</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2)查后公告率</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1)检查按时完成率</w:t>
      </w:r>
      <w:r>
        <w:rPr>
          <w:rFonts w:ascii="仿宋" w:hAnsi="仿宋" w:eastAsia="仿宋" w:cs="仿宋"/>
          <w:sz w:val="32"/>
        </w:rPr>
        <w:t>(%)，目标值100，完成值100，分值10，得分10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1)预决算公开检查综合评分</w:t>
      </w:r>
      <w:r>
        <w:rPr>
          <w:rFonts w:ascii="仿宋" w:hAnsi="仿宋" w:eastAsia="仿宋" w:cs="仿宋"/>
          <w:sz w:val="32"/>
        </w:rPr>
        <w:t>(全省预决算公开检查中的排名)，目标值50，完成值0，分值30，得分0</w:t>
      </w:r>
      <w:r>
        <w:rPr>
          <w:rFonts w:hint="eastAsia" w:ascii="仿宋" w:hAnsi="仿宋" w:eastAsia="仿宋"/>
          <w:sz w:val="32"/>
          <w:szCs w:val="32"/>
        </w:rPr>
        <w:t>。</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pPr>
        <w:spacing w:line="620" w:lineRule="exact"/>
        <w:ind w:left="420" w:leftChars="200"/>
        <w:rPr>
          <w:rFonts w:ascii="仿宋" w:hAnsi="仿宋" w:eastAsia="仿宋"/>
          <w:sz w:val="32"/>
          <w:szCs w:val="32"/>
        </w:rPr>
      </w:pPr>
      <w:r>
        <w:rPr>
          <w:rFonts w:ascii="仿宋_GB2312" w:hAnsi="仿宋_GB2312" w:eastAsia="仿宋_GB2312" w:cs="仿宋_GB2312"/>
          <w:sz w:val="32"/>
        </w:rPr>
        <w:t>1)举报投诉数</w:t>
      </w:r>
      <w:r>
        <w:rPr>
          <w:rFonts w:ascii="仿宋" w:hAnsi="仿宋" w:eastAsia="仿宋" w:cs="仿宋"/>
          <w:sz w:val="32"/>
        </w:rPr>
        <w:t>(次)，目标值0，完成值0，分值10，得分10</w:t>
      </w:r>
      <w:r>
        <w:rPr>
          <w:rFonts w:hint="eastAsia" w:ascii="仿宋" w:hAnsi="仿宋" w:eastAsia="仿宋"/>
          <w:sz w:val="32"/>
          <w:szCs w:val="32"/>
        </w:rPr>
        <w:t>。</w:t>
      </w:r>
    </w:p>
    <w:p>
      <w:pPr>
        <w:tabs>
          <w:tab w:val="left" w:pos="2244"/>
        </w:tabs>
        <w:spacing w:line="620" w:lineRule="exact"/>
        <w:ind w:left="1890" w:leftChars="900"/>
        <w:rPr>
          <w:rFonts w:ascii="仿宋" w:hAnsi="仿宋" w:eastAsia="仿宋"/>
          <w:b/>
          <w:color w:val="FF0000"/>
          <w:sz w:val="32"/>
          <w:szCs w:val="32"/>
        </w:rPr>
      </w:pPr>
    </w:p>
    <w:p>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福州市仓山区财政局“2023年度财政监督检查专项经费”绩效指标中决算公开检查中的排名不低于去年</w:t>
      </w:r>
    </w:p>
    <w:p>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“2023年度财政监督检查专项经费”绩效指标中目前未查到绩效指标排名</w:t>
      </w:r>
    </w:p>
    <w:p>
      <w:pPr>
        <w:pStyle w:val="28"/>
        <w:widowControl/>
        <w:spacing w:before="100" w:after="100" w:line="600" w:lineRule="atLeast"/>
        <w:ind w:left="0" w:right="0" w:firstLine="640"/>
        <w:jc w:val="left"/>
        <w:rPr>
          <w:rFonts w:hint="eastAsia" w:ascii="仿宋" w:hAnsi="仿宋" w:eastAsia="仿宋"/>
          <w:b/>
          <w:sz w:val="32"/>
          <w:szCs w:val="32"/>
          <w:lang w:val="en-US" w:eastAsia="zh-CN"/>
        </w:rPr>
      </w:pPr>
    </w:p>
    <w:bookmarkEnd w:id="0"/>
    <w:p>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13" w:type="default"/>
      <w:pgSz w:w="11906" w:h="16838"/>
      <w:pgMar w:top="1984" w:right="1083" w:bottom="1984" w:left="1083" w:header="0" w:footer="720"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6" o:spid="_x0000_s410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7" o:spid="_x0000_s410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4" o:spid="_x0000_s410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sz w:val="21"/>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45164628">
    <w:nsid w:val="DF3AAD54"/>
    <w:multiLevelType w:val="singleLevel"/>
    <w:tmpl w:val="DF3AAD54"/>
    <w:lvl w:ilvl="0" w:tentative="1">
      <w:start w:val="2"/>
      <w:numFmt w:val="chineseCounting"/>
      <w:suff w:val="nothing"/>
      <w:lvlText w:val="（%1）"/>
      <w:lvlJc w:val="left"/>
      <w:rPr>
        <w:rFonts w:hint="eastAsia"/>
      </w:rPr>
    </w:lvl>
  </w:abstractNum>
  <w:num w:numId="1">
    <w:abstractNumId w:val="37451646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2703B10"/>
    <w:rsid w:val="052768F3"/>
    <w:rsid w:val="05C43668"/>
    <w:rsid w:val="0889022C"/>
    <w:rsid w:val="08EA3F1E"/>
    <w:rsid w:val="0B514B16"/>
    <w:rsid w:val="0EC54104"/>
    <w:rsid w:val="14C1104C"/>
    <w:rsid w:val="178F5C4D"/>
    <w:rsid w:val="18B40DCB"/>
    <w:rsid w:val="190B6508"/>
    <w:rsid w:val="1D0A220C"/>
    <w:rsid w:val="228B5C95"/>
    <w:rsid w:val="22E60FB4"/>
    <w:rsid w:val="2827325D"/>
    <w:rsid w:val="315003DE"/>
    <w:rsid w:val="3CBC5BCD"/>
    <w:rsid w:val="3DC86DD0"/>
    <w:rsid w:val="40B73BB7"/>
    <w:rsid w:val="435B3A2A"/>
    <w:rsid w:val="484C274D"/>
    <w:rsid w:val="4C0E7383"/>
    <w:rsid w:val="546C204F"/>
    <w:rsid w:val="554E65D1"/>
    <w:rsid w:val="564E222D"/>
    <w:rsid w:val="5F9E2332"/>
    <w:rsid w:val="61683ED0"/>
    <w:rsid w:val="6E1B77EE"/>
    <w:rsid w:val="6EC90C03"/>
    <w:rsid w:val="72E753FD"/>
    <w:rsid w:val="72F04459"/>
    <w:rsid w:val="742929EF"/>
    <w:rsid w:val="799A47E8"/>
    <w:rsid w:val="7A0949A1"/>
    <w:rsid w:val="7A292ADB"/>
    <w:rsid w:val="7A5E5645"/>
    <w:rsid w:val="7EAE129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customStyle="1"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19"/>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19"/>
    <w:link w:val="12"/>
    <w:qFormat/>
    <w:uiPriority w:val="0"/>
    <w:rPr>
      <w:kern w:val="2"/>
      <w:sz w:val="18"/>
      <w:szCs w:val="18"/>
    </w:rPr>
  </w:style>
  <w:style w:type="paragraph" w:customStyle="1" w:styleId="26">
    <w:name w:val="List Paragraph"/>
    <w:basedOn w:val="1"/>
    <w:qFormat/>
    <w:uiPriority w:val="0"/>
    <w:pPr>
      <w:ind w:firstLine="420" w:firstLineChars="200"/>
    </w:pPr>
  </w:style>
  <w:style w:type="character" w:customStyle="1" w:styleId="27">
    <w:name w:val="标题 3 字符"/>
    <w:basedOn w:val="19"/>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character" w:customStyle="1" w:styleId="30">
    <w:name w:val="15"/>
    <w:basedOn w:val="19"/>
    <w:qFormat/>
    <w:uiPriority w:val="0"/>
  </w:style>
  <w:style w:type="table" w:customStyle="1" w:styleId="31">
    <w:name w:val="MsoNormalTable"/>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20</Words>
  <Characters>35</Characters>
  <Lines>1</Lines>
  <Paragraphs>1</Paragraphs>
  <TotalTime>0</TotalTime>
  <ScaleCrop>false</ScaleCrop>
  <LinksUpToDate>false</LinksUpToDate>
  <CharactersWithSpaces>36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郭晓燕</cp:lastModifiedBy>
  <cp:lastPrinted>2025-08-27T01:28:00Z</cp:lastPrinted>
  <dcterms:modified xsi:type="dcterms:W3CDTF">2025-09-10T08:07:57Z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432A2B29825044B2829BE3A0156B93DD_13</vt:lpwstr>
  </property>
  <property fmtid="{D5CDD505-2E9C-101B-9397-08002B2CF9AE}" pid="3" name="KSOProductBuildVer">
    <vt:lpwstr>2052-10.8.0.5391</vt:lpwstr>
  </property>
  <property fmtid="{D5CDD505-2E9C-101B-9397-08002B2CF9AE}" pid="4" name="KSOTemplateDocerSaveRecord">
    <vt:lpwstr>eyJoZGlkIjoiMGU0NWVkNDhlOTkyOTEzYmI4NjBkNjJlZWJjYTAyZDQiLCJ1c2VySWQiOiI0MjEyNzUxNjYifQ==</vt:lpwstr>
  </property>
</Properties>
</file>