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260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附件：</w:t>
      </w:r>
    </w:p>
    <w:p w14:paraId="26E616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32"/>
          <w:szCs w:val="32"/>
          <w:lang w:val="en-US" w:eastAsia="zh-CN" w:bidi="ar"/>
        </w:rPr>
      </w:pPr>
    </w:p>
    <w:p w14:paraId="3D6E5E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福州三江口植物园（一期）景区门票及观光车车票价格听证方案</w:t>
      </w:r>
    </w:p>
    <w:p w14:paraId="1FFA519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color w:val="auto"/>
          <w:kern w:val="0"/>
          <w:sz w:val="31"/>
          <w:szCs w:val="31"/>
          <w:lang w:val="en-US" w:eastAsia="zh-CN" w:bidi="ar"/>
        </w:rPr>
      </w:pPr>
    </w:p>
    <w:p w14:paraId="1EE9C14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根据《政府制定价格听证办法》《政府制定价格行为规则》《福建省定价目录》等相关规定，利用公共资源建设的景区门票及景区内配套的交通运输服务价格属于政府定价范围，应当实行定价听证。为科学合理制定福州三江口植物园（一期）景区门票及观光车车票价格，福州市仓山区发展和改革局委托第三方福建中信达有限责任会计师事务所对福州三江口植物园（一期）景区开展了成本调查，综合考虑景区实际、市场供求状况、社会承受能力、景区可持续发展等多方面因素，拟定了福州三江口植物园（一期）景区门票及观光车车票价格方案，现提交听证。 </w:t>
      </w:r>
    </w:p>
    <w:p w14:paraId="169F7E5B">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both"/>
        <w:textAlignment w:val="auto"/>
        <w:rPr>
          <w:color w:val="auto"/>
        </w:rPr>
      </w:pPr>
      <w:r>
        <w:rPr>
          <w:rFonts w:ascii="黑体" w:hAnsi="宋体" w:eastAsia="黑体" w:cs="黑体"/>
          <w:color w:val="auto"/>
          <w:kern w:val="0"/>
          <w:sz w:val="31"/>
          <w:szCs w:val="31"/>
          <w:lang w:val="en-US" w:eastAsia="zh-CN" w:bidi="ar"/>
        </w:rPr>
        <w:t xml:space="preserve">一、基本情况 </w:t>
      </w:r>
    </w:p>
    <w:p w14:paraId="419C7E4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福州三江口植物园（一期）由福州市建设发展有限公司建设运营，于2024年12月31日开始试运营，暂未参加国家级旅游景区质量等级评定。福州三江口植物园（一期）选址清凉山、城门山、马航洲湿地、东湖湿地，构建“两山、两湿地”植物园体系，营造独具特色的山水城市风景式植物园。福州三江口植物园（一期）用地面积约21公顷，包含兰花专类园、兰花温室、科普展厅、兰香馆、兰花驿站等景点。主入口区通过福州传统风格的建筑群和市树、市花、市果及乡土树种打造极具榕城特色的景观。兰花专类园区通过“一溪一</w:t>
      </w:r>
      <w:bookmarkStart w:id="0" w:name="_GoBack"/>
      <w:bookmarkEnd w:id="0"/>
      <w:r>
        <w:rPr>
          <w:rFonts w:hint="eastAsia" w:ascii="仿宋" w:hAnsi="仿宋" w:eastAsia="仿宋" w:cs="仿宋"/>
          <w:color w:val="auto"/>
          <w:kern w:val="0"/>
          <w:sz w:val="32"/>
          <w:szCs w:val="32"/>
          <w:lang w:val="en-US" w:eastAsia="zh-CN" w:bidi="ar"/>
        </w:rPr>
        <w:t>湖一谷一温室”展示不同的兰花生境。植物园提供配套的交通运输服务观光车，观光车路线：游客服务中心站—花涧驿站站—游客服务中心站，采用环形线路运营，全程总长度为2.1公里，采用单日票制，购票当日可无限次乘坐，出园后作废。</w:t>
      </w:r>
    </w:p>
    <w:p w14:paraId="441EB98D">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both"/>
        <w:textAlignment w:val="auto"/>
        <w:rPr>
          <w:color w:val="auto"/>
        </w:rPr>
      </w:pPr>
      <w:r>
        <w:rPr>
          <w:rFonts w:hint="eastAsia" w:ascii="黑体" w:hAnsi="宋体" w:eastAsia="黑体" w:cs="黑体"/>
          <w:color w:val="auto"/>
          <w:kern w:val="0"/>
          <w:sz w:val="31"/>
          <w:szCs w:val="31"/>
          <w:lang w:val="en-US" w:eastAsia="zh-CN" w:bidi="ar"/>
        </w:rPr>
        <w:t xml:space="preserve">二、政策依据 </w:t>
      </w:r>
    </w:p>
    <w:p w14:paraId="018088C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（一）《中华人民共和国价格法》（第八届全国人民代表大会常务委员会第二十九次会议通过） </w:t>
      </w:r>
    </w:p>
    <w:p w14:paraId="314FF95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（二）中华人民共和国旅游法（国家主席令〔2013〕第三号）</w:t>
      </w:r>
    </w:p>
    <w:p w14:paraId="3BD848A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（三）《政府制定价格听证办法》（国家发展和改革委员会 2018 年第 21 号令） </w:t>
      </w:r>
    </w:p>
    <w:p w14:paraId="2E9CBA4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（四）《政府制定价格行为规则》（国家发展和改革委员会 2017 年第 7 号令） </w:t>
      </w:r>
    </w:p>
    <w:p w14:paraId="196D70C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（五）《福建省人民政府关于印发福建省定价目录的通知》（闽政〔2022〕14 号） </w:t>
      </w:r>
    </w:p>
    <w:p w14:paraId="753D427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（六）福建省发展和改革委员会《关于印发福建省定价听证目录的通知》（闽发改规〔2022〕8号） </w:t>
      </w:r>
    </w:p>
    <w:p w14:paraId="1E364C1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（七）福建省发展和改革委员会关于印发《福建省景区门票及相关服务价格管理办法》的通知（闽发改服价〔2020〕690号）</w:t>
      </w:r>
    </w:p>
    <w:p w14:paraId="06AB0C10">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both"/>
        <w:textAlignment w:val="auto"/>
        <w:rPr>
          <w:color w:val="auto"/>
        </w:rPr>
      </w:pPr>
      <w:r>
        <w:rPr>
          <w:rFonts w:hint="eastAsia" w:ascii="黑体" w:hAnsi="宋体" w:eastAsia="黑体" w:cs="黑体"/>
          <w:color w:val="auto"/>
          <w:kern w:val="0"/>
          <w:sz w:val="31"/>
          <w:szCs w:val="31"/>
          <w:lang w:val="en-US" w:eastAsia="zh-CN" w:bidi="ar"/>
        </w:rPr>
        <w:t xml:space="preserve">三、成本调查情况 </w:t>
      </w:r>
    </w:p>
    <w:p w14:paraId="573ED45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根据《中华人民共和国价格法》《政府制定价格成本监审办法》等有关规定，福州市仓山区发展和改革局委托福建中信达有限责任会计师事务所对福州三江口植物园（一期）2025年成本进行调查。调查结论如下：预测福州三江口植物园（一期）景区门票成本：24.41元/人.次（不含税）；观光车车票成本：2.79元/人.次（不含税），路线：游客服务中心站—花涧驿站站—游客服务中心站，采用环形线路运营。</w:t>
      </w:r>
    </w:p>
    <w:p w14:paraId="4A0B793F">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both"/>
        <w:textAlignment w:val="auto"/>
        <w:rPr>
          <w:rFonts w:hint="eastAsia"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 xml:space="preserve">四、票价制定的原则 </w:t>
      </w:r>
    </w:p>
    <w:p w14:paraId="41F2287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1．公益性原则。福州三江口植物园（一期）作为利用公共资源建设的景区，票价制定坚持公益属性，制定票价过程中主要考虑补偿企业日常运营成本。 </w:t>
      </w:r>
    </w:p>
    <w:p w14:paraId="7BEB07B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 统筹兼顾原则。景区票价制定应兼顾市民收入水平和投资者的合理投资回报，同时又要利于促进景区的可持续发展。 </w:t>
      </w:r>
    </w:p>
    <w:p w14:paraId="16D51056">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both"/>
        <w:textAlignment w:val="auto"/>
        <w:rPr>
          <w:rFonts w:hint="eastAsia"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 xml:space="preserve">五、景区门票和观光车车票价格听证方案及分析 </w:t>
      </w:r>
    </w:p>
    <w:p w14:paraId="449DD34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（一）景区门票和观光车车票价格听证方案</w:t>
      </w:r>
    </w:p>
    <w:p w14:paraId="7ECC14E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根据成本调查报告，并结合《福建省景区门票及相关服务价格管理办法》（闽发改服价〔2020〕690号）文件精神，拟定以下两种方案。 </w:t>
      </w:r>
    </w:p>
    <w:p w14:paraId="49DCB71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方案一: </w:t>
      </w:r>
    </w:p>
    <w:p w14:paraId="28CC370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福州三江口植物园（一期）门票27元/人.次；观光车3元/人.次。 </w:t>
      </w:r>
    </w:p>
    <w:p w14:paraId="66B1DAA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方案二： </w:t>
      </w:r>
    </w:p>
    <w:p w14:paraId="3F958B8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福州三江口植物园（一期）门票29元/人.次；观光车3元/人.次。 </w:t>
      </w:r>
    </w:p>
    <w:p w14:paraId="33180CC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上述价格标准为最高指导价，景区可根据运营情况实行下浮。 </w:t>
      </w:r>
    </w:p>
    <w:p w14:paraId="756F30F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（二）上述方案比析</w:t>
      </w:r>
    </w:p>
    <w:p w14:paraId="4F523CE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根据成本调查数据加规定税费后测算，福州三江口植物园（一期）门票成本为26.05元/人.次（含税），观光车车票成本为2.98元/人.次（含税）。方案一中门票价格较方案二低，景区运营略有盈利，基本可以保障日常运营成本，同时游客心理接受度相对较高。方案二中门票价格比方案一高，有利于补偿该景点后续的建设和开展景区旅游品牌的创建宣传，促进景区长期可持续发展。</w:t>
      </w:r>
    </w:p>
    <w:p w14:paraId="42F0E906">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both"/>
        <w:textAlignment w:val="auto"/>
        <w:rPr>
          <w:rFonts w:hint="eastAsia"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 xml:space="preserve">六、门票价格核定后的影响分析 </w:t>
      </w:r>
    </w:p>
    <w:p w14:paraId="5DB9161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（一）对社会稳定的影响 </w:t>
      </w:r>
    </w:p>
    <w:p w14:paraId="370677C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福州三江口植物园（一期）的开放运营，对游客来说该景区在同行中有一定的优势，是增加了一处新的旅游观光的去处。对经营者来说，福州市三江口植物园（一期）门票方案的出台，可以促进景区的可持续健康发展。因此不会造成社会不稳定因素。 </w:t>
      </w:r>
    </w:p>
    <w:p w14:paraId="19735E9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（二）对居民消费指数的影响 </w:t>
      </w:r>
    </w:p>
    <w:p w14:paraId="29AB360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该景区门票价格不列入居民消费指数测算范畴，因此不影响居民消费指数的变动。 </w:t>
      </w:r>
    </w:p>
    <w:p w14:paraId="3589319A">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both"/>
        <w:textAlignment w:val="auto"/>
        <w:rPr>
          <w:rFonts w:hint="eastAsia"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 xml:space="preserve">七、其它相关建议 </w:t>
      </w:r>
    </w:p>
    <w:p w14:paraId="2AC86DA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（一）优惠措施建议：严格落实国家、省、市有关价格政策及优惠政策。 </w:t>
      </w:r>
    </w:p>
    <w:p w14:paraId="6E63865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（二）加强企业内部管理，提高游览服务品质 </w:t>
      </w:r>
    </w:p>
    <w:p w14:paraId="790F259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景区应健全内部管理制度，优化资源配置，降低运营成本，提高经济效益和景区服务质量，不断提升景区的知名度。</w:t>
      </w:r>
    </w:p>
    <w:p w14:paraId="5982B03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bidi="ar"/>
        </w:rPr>
        <w:sectPr>
          <w:footerReference r:id="rId3" w:type="default"/>
          <w:pgSz w:w="11906" w:h="16838"/>
          <w:pgMar w:top="2041" w:right="1531" w:bottom="2041" w:left="1531" w:header="851" w:footer="992" w:gutter="0"/>
          <w:pgNumType w:fmt="numberInDash" w:start="1"/>
          <w:cols w:space="425" w:num="1"/>
          <w:docGrid w:type="lines" w:linePitch="312" w:charSpace="0"/>
        </w:sectPr>
      </w:pPr>
    </w:p>
    <w:p w14:paraId="51CEB81E">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附图</w:t>
      </w:r>
    </w:p>
    <w:p w14:paraId="04BC4A5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hAnsi="黑体" w:eastAsia="黑体" w:cs="黑体"/>
          <w:i w:val="0"/>
          <w:iCs w:val="0"/>
          <w:caps w:val="0"/>
          <w:color w:val="auto"/>
          <w:spacing w:val="0"/>
          <w:sz w:val="32"/>
          <w:szCs w:val="32"/>
          <w:shd w:val="clear" w:color="auto" w:fill="auto"/>
          <w:lang w:val="en-US" w:eastAsia="zh-CN"/>
        </w:rPr>
      </w:pPr>
      <w:r>
        <w:rPr>
          <w:rFonts w:hint="eastAsia" w:ascii="黑体" w:hAnsi="黑体" w:eastAsia="黑体" w:cs="黑体"/>
          <w:i w:val="0"/>
          <w:iCs w:val="0"/>
          <w:caps w:val="0"/>
          <w:color w:val="auto"/>
          <w:spacing w:val="0"/>
          <w:sz w:val="32"/>
          <w:szCs w:val="32"/>
          <w:shd w:val="clear" w:color="auto" w:fill="auto"/>
          <w:lang w:val="en-US" w:eastAsia="zh-CN"/>
        </w:rPr>
        <w:t>观光车站点分布示意图</w:t>
      </w:r>
    </w:p>
    <w:p w14:paraId="463169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1"/>
          <w:szCs w:val="31"/>
          <w:lang w:val="en-US" w:eastAsia="zh-CN" w:bidi="ar"/>
        </w:rPr>
      </w:pPr>
      <w:r>
        <w:rPr>
          <w:rFonts w:hint="eastAsia" w:ascii="仿宋_GB2312" w:hAnsi="仿宋_GB2312" w:eastAsia="仿宋_GB2312" w:cs="仿宋_GB2312"/>
          <w:kern w:val="2"/>
          <w:sz w:val="32"/>
          <w:szCs w:val="32"/>
          <w:rtl w:val="0"/>
          <w:lang w:val="en-US" w:eastAsia="zh-CN" w:bidi="ar-SA"/>
        </w:rPr>
        <w:drawing>
          <wp:anchor distT="0" distB="0" distL="114300" distR="114300" simplePos="0" relativeHeight="251660288" behindDoc="1" locked="0" layoutInCell="1" allowOverlap="1">
            <wp:simplePos x="0" y="0"/>
            <wp:positionH relativeFrom="column">
              <wp:posOffset>604520</wp:posOffset>
            </wp:positionH>
            <wp:positionV relativeFrom="paragraph">
              <wp:posOffset>8890</wp:posOffset>
            </wp:positionV>
            <wp:extent cx="7747000" cy="4324350"/>
            <wp:effectExtent l="0" t="0" r="0" b="0"/>
            <wp:wrapTight wrapText="bothSides">
              <wp:wrapPolygon>
                <wp:start x="0" y="0"/>
                <wp:lineTo x="0" y="21505"/>
                <wp:lineTo x="21565" y="21505"/>
                <wp:lineTo x="21565" y="0"/>
                <wp:lineTo x="0" y="0"/>
              </wp:wrapPolygon>
            </wp:wrapTight>
            <wp:docPr id="1" name="图片 1" descr="816b5cd626ba396cc5e7699ae22716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6b5cd626ba396cc5e7699ae227168e"/>
                    <pic:cNvPicPr>
                      <a:picLocks noChangeAspect="1"/>
                    </pic:cNvPicPr>
                  </pic:nvPicPr>
                  <pic:blipFill>
                    <a:blip r:embed="rId5"/>
                    <a:stretch>
                      <a:fillRect/>
                    </a:stretch>
                  </pic:blipFill>
                  <pic:spPr>
                    <a:xfrm>
                      <a:off x="0" y="0"/>
                      <a:ext cx="7747000" cy="4324350"/>
                    </a:xfrm>
                    <a:prstGeom prst="rect">
                      <a:avLst/>
                    </a:prstGeom>
                  </pic:spPr>
                </pic:pic>
              </a:graphicData>
            </a:graphic>
          </wp:anchor>
        </w:drawing>
      </w:r>
    </w:p>
    <w:sectPr>
      <w:pgSz w:w="16838" w:h="11906" w:orient="landscape"/>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484299-AE2B-47B2-955B-101E3BB9F1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9451D177-EDF0-4D37-8C6F-EACCDE8FEE62}"/>
  </w:font>
  <w:font w:name="仿宋">
    <w:panose1 w:val="02010609060101010101"/>
    <w:charset w:val="86"/>
    <w:family w:val="auto"/>
    <w:pitch w:val="default"/>
    <w:sig w:usb0="800002BF" w:usb1="38CF7CFA" w:usb2="00000016" w:usb3="00000000" w:csb0="00040001" w:csb1="00000000"/>
    <w:embedRegular r:id="rId3" w:fontKey="{742A7E80-DB06-4E64-B596-DF40AE8A1680}"/>
  </w:font>
  <w:font w:name="仿宋_GB2312">
    <w:altName w:val="仿宋"/>
    <w:panose1 w:val="02010609030101010101"/>
    <w:charset w:val="86"/>
    <w:family w:val="modern"/>
    <w:pitch w:val="default"/>
    <w:sig w:usb0="00000000" w:usb1="00000000" w:usb2="00000000" w:usb3="00000000" w:csb0="00040000" w:csb1="00000000"/>
    <w:embedRegular r:id="rId4" w:fontKey="{5968BDA3-D577-4C53-B887-76048D4877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BAC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A715A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AA715A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013B3"/>
    <w:rsid w:val="00B57B36"/>
    <w:rsid w:val="055A3164"/>
    <w:rsid w:val="075A470B"/>
    <w:rsid w:val="08846D56"/>
    <w:rsid w:val="08D87D10"/>
    <w:rsid w:val="097F134C"/>
    <w:rsid w:val="111F7DDE"/>
    <w:rsid w:val="15C11717"/>
    <w:rsid w:val="18A55E5D"/>
    <w:rsid w:val="195F08E7"/>
    <w:rsid w:val="1D452BC6"/>
    <w:rsid w:val="1E4C7AFD"/>
    <w:rsid w:val="261A02CB"/>
    <w:rsid w:val="27DB04D0"/>
    <w:rsid w:val="29373393"/>
    <w:rsid w:val="31EB0A34"/>
    <w:rsid w:val="32036D1A"/>
    <w:rsid w:val="32DD33ED"/>
    <w:rsid w:val="36C935D5"/>
    <w:rsid w:val="3995038E"/>
    <w:rsid w:val="3C9B3F0D"/>
    <w:rsid w:val="46E9607E"/>
    <w:rsid w:val="49A55669"/>
    <w:rsid w:val="4BAE480D"/>
    <w:rsid w:val="4CC37CD5"/>
    <w:rsid w:val="4DEF581C"/>
    <w:rsid w:val="4F5013B3"/>
    <w:rsid w:val="564A6ECD"/>
    <w:rsid w:val="57071993"/>
    <w:rsid w:val="5AC810C3"/>
    <w:rsid w:val="5BF25543"/>
    <w:rsid w:val="604C6483"/>
    <w:rsid w:val="606F4155"/>
    <w:rsid w:val="613516D5"/>
    <w:rsid w:val="62064DF0"/>
    <w:rsid w:val="65627FA7"/>
    <w:rsid w:val="66AF0571"/>
    <w:rsid w:val="6D843180"/>
    <w:rsid w:val="70D51755"/>
    <w:rsid w:val="761F4301"/>
    <w:rsid w:val="7D052701"/>
    <w:rsid w:val="7D22028C"/>
    <w:rsid w:val="7E6D6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Verdana" w:hAnsi="Verdana"/>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1887</Words>
  <Characters>1942</Characters>
  <Lines>0</Lines>
  <Paragraphs>0</Paragraphs>
  <TotalTime>26</TotalTime>
  <ScaleCrop>false</ScaleCrop>
  <LinksUpToDate>false</LinksUpToDate>
  <CharactersWithSpaces>1979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2025-08-06T03:18:00Z</dcterms:created>
  <dc:creator>Falance</dc:creator>
  <cp:lastModifiedBy>Falance</cp:lastModifiedBy>
  <cp:lastPrinted>2025-09-04T09:06:39Z</cp:lastPrinted>
  <dcterms:modified xsi:type="dcterms:W3CDTF">2025-09-04T09:10:29Z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CD9A8DDCFB074BC49491DDBB4B9BECDA_13</vt:lpwstr>
  </property>
  <property fmtid="{D5CDD505-2E9C-101B-9397-08002B2CF9AE}" pid="4" name="KSOTemplateDocerSaveRecord">
    <vt:lpwstr>eyJoZGlkIjoiNzczNmQzNDNlOTRlYTlhYmVjNzQ0ZmNmNzUyNGE5OTgiLCJ1c2VySWQiOiIyMzE4Mzc1In0=</vt:lpwstr>
  </property>
</Properties>
</file>