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i w:val="0"/>
          <w:color w:val="auto"/>
          <w:spacing w:val="0"/>
          <w:w w:val="100"/>
          <w:sz w:val="44"/>
          <w:szCs w:val="44"/>
          <w:lang w:val="en-US" w:eastAsia="zh-CN"/>
        </w:rPr>
        <w:t>仓山盖山福州利嘉亚太汽车后市场智慧产业园发展有限公司“6·16”一般触电事故调</w:t>
      </w:r>
      <w:r>
        <w:rPr>
          <w:rFonts w:hint="eastAsia" w:ascii="方正小标宋简体" w:hAnsi="方正小标宋简体" w:eastAsia="方正小标宋简体" w:cs="方正小标宋简体"/>
          <w:sz w:val="44"/>
          <w:szCs w:val="44"/>
        </w:rPr>
        <w:t>查报告</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b w:val="0"/>
          <w:bCs/>
          <w:i w:val="0"/>
          <w:color w:val="auto"/>
          <w:spacing w:val="0"/>
          <w:w w:val="100"/>
          <w:kern w:val="21"/>
          <w:sz w:val="32"/>
          <w:szCs w:val="32"/>
          <w:lang w:val="en-US" w:eastAsia="zh-CN"/>
        </w:rPr>
      </w:pP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2026年6月16日14时53分许，福州利嘉亚太汽车后市场智慧产业园发展有限公司利嘉商贸城11号馆负一楼发生一起触电事故，事故造成1人死亡。</w:t>
      </w:r>
    </w:p>
    <w:p>
      <w:pPr>
        <w:keepNext w:val="0"/>
        <w:keepLines w:val="0"/>
        <w:pageBreakBefore w:val="0"/>
        <w:kinsoku/>
        <w:wordWrap/>
        <w:overflowPunct/>
        <w:topLinePunct w:val="0"/>
        <w:bidi w:val="0"/>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根</w:t>
      </w:r>
      <w:r>
        <w:rPr>
          <w:rFonts w:hint="eastAsia" w:ascii="仿宋" w:hAnsi="仿宋" w:eastAsia="仿宋" w:cs="仿宋"/>
          <w:sz w:val="32"/>
          <w:szCs w:val="32"/>
          <w:lang w:val="en-US" w:eastAsia="zh-CN"/>
        </w:rPr>
        <w:t>据《生产安全事故报告和调查处理条例》（国务院令第493号），受仓山区政府委托，由区应急管理局陈宏剑副局长担任组长，组织仓山</w:t>
      </w:r>
      <w:r>
        <w:rPr>
          <w:rFonts w:hint="eastAsia" w:ascii="仿宋_GB2312" w:eastAsia="仿宋_GB2312"/>
          <w:sz w:val="32"/>
          <w:szCs w:val="32"/>
        </w:rPr>
        <w:t>区应急管理局、</w:t>
      </w:r>
      <w:r>
        <w:rPr>
          <w:rFonts w:hint="eastAsia" w:ascii="仿宋_GB2312" w:eastAsia="仿宋_GB2312"/>
          <w:sz w:val="32"/>
          <w:szCs w:val="32"/>
          <w:lang w:val="en-US" w:eastAsia="zh-CN"/>
        </w:rPr>
        <w:t>仓山</w:t>
      </w:r>
      <w:r>
        <w:rPr>
          <w:rFonts w:hint="eastAsia" w:ascii="仿宋_GB2312" w:eastAsia="仿宋_GB2312"/>
          <w:sz w:val="32"/>
          <w:szCs w:val="32"/>
        </w:rPr>
        <w:t>公安分局、总工会、人力资源和社会保障局、</w:t>
      </w:r>
      <w:r>
        <w:rPr>
          <w:rFonts w:hint="eastAsia" w:ascii="仿宋_GB2312" w:eastAsia="仿宋_GB2312"/>
          <w:sz w:val="32"/>
          <w:szCs w:val="32"/>
          <w:lang w:eastAsia="zh-CN"/>
        </w:rPr>
        <w:t>商务</w:t>
      </w:r>
      <w:r>
        <w:rPr>
          <w:rFonts w:hint="eastAsia" w:ascii="仿宋_GB2312" w:eastAsia="仿宋_GB2312"/>
          <w:sz w:val="32"/>
          <w:szCs w:val="32"/>
        </w:rPr>
        <w:t>局、</w:t>
      </w:r>
      <w:r>
        <w:rPr>
          <w:rFonts w:hint="eastAsia" w:ascii="仿宋_GB2312" w:eastAsia="仿宋_GB2312"/>
          <w:sz w:val="32"/>
          <w:szCs w:val="32"/>
          <w:lang w:eastAsia="zh-CN"/>
        </w:rPr>
        <w:t>卫健局、盖山镇政府</w:t>
      </w:r>
      <w:r>
        <w:rPr>
          <w:rFonts w:hint="eastAsia" w:ascii="仿宋" w:hAnsi="仿宋" w:eastAsia="仿宋" w:cs="仿宋"/>
          <w:sz w:val="32"/>
          <w:szCs w:val="32"/>
          <w:lang w:val="en-US" w:eastAsia="zh-CN"/>
        </w:rPr>
        <w:t>等单位组成事故调查组</w:t>
      </w:r>
      <w:r>
        <w:rPr>
          <w:rFonts w:hint="eastAsia" w:ascii="仿宋" w:hAnsi="仿宋" w:eastAsia="仿宋" w:cs="仿宋"/>
          <w:sz w:val="32"/>
          <w:szCs w:val="32"/>
        </w:rPr>
        <w:t>并聘请相关专家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对该起事故进行调查，同时邀请区监察委派员参</w:t>
      </w:r>
      <w:r>
        <w:rPr>
          <w:rFonts w:hint="eastAsia" w:ascii="仿宋" w:hAnsi="仿宋" w:eastAsia="仿宋" w:cs="仿宋"/>
          <w:sz w:val="32"/>
          <w:szCs w:val="32"/>
        </w:rPr>
        <w:t>加。</w:t>
      </w:r>
      <w:bookmarkStart w:id="2" w:name="_GoBack"/>
      <w:bookmarkEnd w:id="2"/>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经调查认定，</w:t>
      </w:r>
      <w:r>
        <w:rPr>
          <w:rFonts w:hint="eastAsia" w:ascii="仿宋" w:hAnsi="仿宋" w:eastAsia="仿宋" w:cs="仿宋"/>
          <w:sz w:val="32"/>
          <w:szCs w:val="32"/>
          <w:lang w:val="en-US" w:eastAsia="zh-CN"/>
        </w:rPr>
        <w:t>福州市仓山盖山</w:t>
      </w:r>
      <w:r>
        <w:rPr>
          <w:rFonts w:hint="eastAsia" w:ascii="仿宋" w:hAnsi="仿宋" w:eastAsia="仿宋" w:cs="仿宋"/>
          <w:sz w:val="32"/>
          <w:szCs w:val="32"/>
        </w:rPr>
        <w:t>“</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16</w:t>
      </w:r>
      <w:r>
        <w:rPr>
          <w:rFonts w:hint="eastAsia" w:ascii="仿宋" w:hAnsi="仿宋" w:eastAsia="仿宋" w:cs="仿宋"/>
          <w:sz w:val="32"/>
          <w:szCs w:val="32"/>
        </w:rPr>
        <w:t>”一般</w:t>
      </w:r>
      <w:r>
        <w:rPr>
          <w:rFonts w:hint="eastAsia" w:ascii="仿宋" w:hAnsi="仿宋" w:eastAsia="仿宋" w:cs="仿宋"/>
          <w:sz w:val="32"/>
          <w:szCs w:val="32"/>
          <w:lang w:val="en-US" w:eastAsia="zh-CN"/>
        </w:rPr>
        <w:t>触电</w:t>
      </w:r>
      <w:r>
        <w:rPr>
          <w:rFonts w:hint="eastAsia" w:ascii="仿宋" w:hAnsi="仿宋" w:eastAsia="仿宋" w:cs="仿宋"/>
          <w:sz w:val="32"/>
          <w:szCs w:val="32"/>
        </w:rPr>
        <w:t>事故是一起因</w:t>
      </w:r>
      <w:r>
        <w:rPr>
          <w:rFonts w:hint="eastAsia" w:ascii="仿宋" w:hAnsi="仿宋" w:eastAsia="仿宋" w:cs="仿宋"/>
          <w:sz w:val="32"/>
          <w:szCs w:val="32"/>
          <w:lang w:val="en-US" w:eastAsia="zh-CN"/>
        </w:rPr>
        <w:t>未</w:t>
      </w:r>
      <w:r>
        <w:rPr>
          <w:rFonts w:hint="eastAsia" w:ascii="Times New Roman" w:hAnsi="Times New Roman" w:eastAsia="方正仿宋_GB2312" w:cs="方正仿宋_GB2312"/>
          <w:b w:val="0"/>
          <w:bCs/>
          <w:i w:val="0"/>
          <w:color w:val="auto"/>
          <w:spacing w:val="0"/>
          <w:w w:val="100"/>
          <w:kern w:val="21"/>
          <w:sz w:val="32"/>
          <w:szCs w:val="32"/>
          <w:lang w:val="en-US" w:eastAsia="zh-CN"/>
        </w:rPr>
        <w:t>落实安全生产管理制度及安全操作规程，在作业过程中未穿戴电工防护用品，</w:t>
      </w:r>
      <w:r>
        <w:rPr>
          <w:rFonts w:hint="eastAsia" w:ascii="仿宋" w:hAnsi="仿宋" w:eastAsia="仿宋" w:cs="仿宋"/>
          <w:sz w:val="32"/>
          <w:szCs w:val="32"/>
          <w:lang w:val="en-US" w:eastAsia="zh-CN"/>
        </w:rPr>
        <w:t>导致发生触电事故的</w:t>
      </w:r>
      <w:r>
        <w:rPr>
          <w:rFonts w:hint="eastAsia" w:ascii="仿宋" w:hAnsi="仿宋" w:eastAsia="仿宋" w:cs="仿宋"/>
          <w:sz w:val="32"/>
          <w:szCs w:val="32"/>
        </w:rPr>
        <w:t>一般</w:t>
      </w:r>
      <w:r>
        <w:rPr>
          <w:rFonts w:hint="eastAsia" w:ascii="仿宋" w:hAnsi="仿宋" w:eastAsia="仿宋" w:cs="仿宋"/>
          <w:sz w:val="32"/>
          <w:szCs w:val="32"/>
          <w:lang w:val="en-US" w:eastAsia="zh-CN"/>
        </w:rPr>
        <w:t>生产安全责任</w:t>
      </w:r>
      <w:r>
        <w:rPr>
          <w:rFonts w:hint="eastAsia" w:ascii="仿宋" w:hAnsi="仿宋" w:eastAsia="仿宋" w:cs="仿宋"/>
          <w:sz w:val="32"/>
          <w:szCs w:val="32"/>
        </w:rPr>
        <w:t>事故。</w:t>
      </w:r>
    </w:p>
    <w:p>
      <w:pPr>
        <w:keepNext w:val="0"/>
        <w:keepLines w:val="0"/>
        <w:pageBreakBefore w:val="0"/>
        <w:kinsoku/>
        <w:wordWrap/>
        <w:overflowPunct/>
        <w:topLinePunct w:val="0"/>
        <w:bidi w:val="0"/>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一、事故基本情况</w:t>
      </w:r>
    </w:p>
    <w:p>
      <w:pPr>
        <w:pStyle w:val="24"/>
        <w:keepNext w:val="0"/>
        <w:keepLines w:val="0"/>
        <w:pageBreakBefore w:val="0"/>
        <w:kinsoku/>
        <w:wordWrap/>
        <w:overflowPunct/>
        <w:topLinePunct w:val="0"/>
        <w:bidi w:val="0"/>
        <w:snapToGrid/>
        <w:spacing w:line="560" w:lineRule="exact"/>
        <w:ind w:left="420" w:firstLine="320" w:firstLineChars="1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val="en-US" w:eastAsia="zh-CN"/>
        </w:rPr>
        <w:t>事故现场概况</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事故现场位于福建省福州市仓山区齐安路利嘉商贸城11号馆负一楼卫生间门口，调查组现场勘查时利嘉公司未妥善保护事故现场，调查组无法还原事故现场实际情况。赵钟利作业时使用的铝合金人字梯产品尺寸3米，展开后高度为2.8米。</w:t>
      </w:r>
    </w:p>
    <w:p>
      <w:pPr>
        <w:keepNext w:val="0"/>
        <w:keepLines w:val="0"/>
        <w:pageBreakBefore w:val="0"/>
        <w:kinsoku/>
        <w:wordWrap/>
        <w:overflowPunct/>
        <w:topLinePunct w:val="0"/>
        <w:bidi w:val="0"/>
        <w:snapToGrid/>
        <w:spacing w:line="560" w:lineRule="exact"/>
        <w:ind w:firstLine="640" w:firstLineChars="200"/>
        <w:textAlignment w:val="auto"/>
        <w:rPr>
          <w:rFonts w:hint="eastAsia" w:ascii="楷体_GB2312" w:hAnsi="楷体_GB2312" w:eastAsia="楷体_GB2312" w:cs="楷体_GB2312"/>
          <w:szCs w:val="32"/>
        </w:rPr>
      </w:pPr>
      <w:r>
        <w:rPr>
          <w:rFonts w:hint="eastAsia" w:ascii="楷体_GB2312" w:hAnsi="楷体_GB2312" w:eastAsia="楷体_GB2312" w:cs="楷体_GB2312"/>
          <w:sz w:val="32"/>
          <w:szCs w:val="32"/>
        </w:rPr>
        <w:t>（二）事故相关</w:t>
      </w:r>
      <w:r>
        <w:rPr>
          <w:rFonts w:hint="eastAsia" w:ascii="楷体_GB2312" w:hAnsi="楷体_GB2312" w:eastAsia="楷体_GB2312" w:cs="楷体_GB2312"/>
          <w:sz w:val="32"/>
          <w:szCs w:val="32"/>
          <w:lang w:val="en-US" w:eastAsia="zh-CN"/>
        </w:rPr>
        <w:t>单位、人员</w:t>
      </w:r>
      <w:r>
        <w:rPr>
          <w:rFonts w:hint="eastAsia" w:ascii="楷体_GB2312" w:hAnsi="楷体_GB2312" w:eastAsia="楷体_GB2312" w:cs="楷体_GB2312"/>
          <w:sz w:val="32"/>
          <w:szCs w:val="32"/>
        </w:rPr>
        <w:t>基本情况</w:t>
      </w:r>
      <w:r>
        <w:rPr>
          <w:rFonts w:hint="eastAsia" w:ascii="楷体_GB2312" w:hAnsi="楷体_GB2312" w:eastAsia="楷体_GB2312" w:cs="楷体_GB2312"/>
          <w:b/>
          <w:sz w:val="32"/>
          <w:szCs w:val="32"/>
        </w:rPr>
        <w:tab/>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1.福州利嘉亚太汽车后市场智慧产业园发展有限公司（以下简称“利嘉公司”）成立于2020年08月11日，注册地位于福建省福州市仓山区盖山镇天水路北侧海峡商业城9号馆、负一层、编号105，法定代表人为高扬，统一社会信用代码91350104MA34GJBM5W。经营范围包括一般项目：园区管理服务；以自有资金从事投资活动；商业综合体管理服务；集贸市场管理服务；供应链管理服务；企业管理；市场营销策划；会议及展览服务；普通货物仓储服务（不含危险化学品等需许可审批的项目）；非居住房地产租赁；物业管理；商务代理代办服务；咨询策划服务；互联网销售（除销售需要许可的商品）；信息咨询服务（不含许可类信息咨询服务）；信息技术咨询服务；广告制作；广告发布；广告设计、代理；二手车交易市场经营；汽车销售；机动车修理和维护；机动车改装服务；汽车零配件批发；新能源汽车换电设施销售；新能源汽车电附件销售；汽车零配件零售；销售代理；国内贸易代理；计算机软硬件及辅助设备批发；网络技术服务；技术服务、技术开发、技术咨询、技术交流、技术转让、技术推广；通讯设备销售；信息系统集成服务；停车场服务；人工智能公共数据平台；人工智能行业应用系统集成服务；人工智能通用应用系统；物联网技术研发；物联网技术服务；大数据服务；新能源汽车整车销售。（除依法须经批准的项目外，凭营业执照依法自主开展经营活动）许可项目：互联网信息服务；职业中介活动；小微型客车租赁经营服务；保险兼业代理业务；网络文化经营。（依法须经批准的项目，经相关部门批准后方可开展经营活动，具体经营项目以相关部门批准文件或许可证件为准）。</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2.赵钟利，男，1969年12月04日出生，户籍所在地：福建省福州市仓山区盖山镇天水村天水124号，居民身份证号码：XXXXXXXXXXXXXXXXXX，利嘉公司电工，持有福建省应急管理厅签发的特种作业操作证，操作项目：低压电工作业，有效期至2025年12月1日，特种作业操作证已过有效期，未延续换证。赵钟利在本起事故中死亡。</w:t>
      </w:r>
    </w:p>
    <w:p>
      <w:pPr>
        <w:keepNext w:val="0"/>
        <w:keepLines w:val="0"/>
        <w:pageBreakBefore w:val="0"/>
        <w:kinsoku/>
        <w:wordWrap/>
        <w:overflowPunct/>
        <w:topLinePunct w:val="0"/>
        <w:bidi w:val="0"/>
        <w:snapToGrid/>
        <w:spacing w:line="560" w:lineRule="exact"/>
        <w:ind w:firstLine="640" w:firstLineChars="200"/>
        <w:textAlignment w:val="auto"/>
        <w:rPr>
          <w:rFonts w:ascii="楷体" w:hAnsi="楷体" w:eastAsia="楷体" w:cs="楷体"/>
          <w:sz w:val="32"/>
          <w:szCs w:val="32"/>
        </w:rPr>
      </w:pPr>
      <w:r>
        <w:rPr>
          <w:rFonts w:hint="eastAsia" w:ascii="楷体" w:hAnsi="楷体" w:eastAsia="楷体" w:cs="楷体"/>
          <w:sz w:val="32"/>
          <w:szCs w:val="32"/>
        </w:rPr>
        <w:t>（三）事故发生经过</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2026年6月16日14时53分许，利嘉公司电工赵钟利在利嘉商贸城11号馆负一楼卫生间门口使用铝合金人字梯对吊顶上的线路进行检修，突发触电，从人字梯上跌落。路过的二手车中介陈亮亮发现赵钟利趴在地上，口鼻处有血迹，呼吸沉重，便立即让朋友拨打120并通知商场管理员陈道勇。正在会议室开会的利嘉公司总经理高扬、工程部主管郭小农、商场管理员陈道勇、人事专员张敏等人立即赶往事故现场，并在120远程指导下对赵钟利进行心肺复苏等急救措施。随后120救护人员到达事故现场，将赵钟利送往省立医院金山院区抢救。6月16日19时许赵钟利接受了手术治疗，6月16日22时许手术结束，赵钟利留院治疗。2026年6月17日6时许，赵钟利病情恶化，医院下达了病危通知书。家属决定放弃治疗，便办理了出院手续，赵钟利被家人接回家中后死亡。</w:t>
      </w:r>
    </w:p>
    <w:p>
      <w:pPr>
        <w:keepNext w:val="0"/>
        <w:keepLines w:val="0"/>
        <w:pageBreakBefore w:val="0"/>
        <w:kinsoku/>
        <w:wordWrap/>
        <w:overflowPunct/>
        <w:topLinePunct w:val="0"/>
        <w:bidi w:val="0"/>
        <w:snapToGrid/>
        <w:spacing w:line="560" w:lineRule="exact"/>
        <w:ind w:firstLine="640" w:firstLineChars="200"/>
        <w:textAlignment w:val="auto"/>
        <w:rPr>
          <w:rFonts w:ascii="楷体" w:hAnsi="楷体" w:eastAsia="楷体" w:cs="楷体"/>
          <w:szCs w:val="32"/>
        </w:rPr>
      </w:pPr>
      <w:r>
        <w:rPr>
          <w:rFonts w:hint="eastAsia" w:ascii="楷体" w:hAnsi="楷体" w:eastAsia="楷体" w:cs="楷体"/>
          <w:sz w:val="32"/>
          <w:szCs w:val="32"/>
        </w:rPr>
        <w:t>（四）人员伤亡和直接经济损失情况</w:t>
      </w:r>
    </w:p>
    <w:p>
      <w:pPr>
        <w:pStyle w:val="10"/>
        <w:keepNext w:val="0"/>
        <w:keepLines w:val="0"/>
        <w:pageBreakBefore w:val="0"/>
        <w:kinsoku/>
        <w:wordWrap/>
        <w:overflowPunct/>
        <w:topLinePunct w:val="0"/>
        <w:bidi w:val="0"/>
        <w:snapToGrid/>
        <w:spacing w:line="560" w:lineRule="exact"/>
        <w:ind w:left="0" w:leftChars="0" w:firstLine="640" w:firstLineChars="0"/>
        <w:textAlignment w:val="auto"/>
        <w:rPr>
          <w:rFonts w:hint="eastAsia" w:ascii="仿宋" w:hAnsi="仿宋" w:eastAsia="仿宋" w:cs="仿宋"/>
          <w:bCs w:val="0"/>
          <w:szCs w:val="32"/>
        </w:rPr>
      </w:pPr>
      <w:r>
        <w:rPr>
          <w:rFonts w:hint="eastAsia" w:ascii="仿宋" w:hAnsi="仿宋" w:eastAsia="仿宋" w:cs="仿宋"/>
          <w:bCs w:val="0"/>
          <w:szCs w:val="32"/>
        </w:rPr>
        <w:t>事故造成</w:t>
      </w:r>
      <w:r>
        <w:rPr>
          <w:rFonts w:hint="eastAsia" w:ascii="仿宋" w:hAnsi="仿宋" w:eastAsia="仿宋" w:cs="仿宋"/>
          <w:bCs w:val="0"/>
          <w:szCs w:val="32"/>
          <w:lang w:val="en-US" w:eastAsia="zh-CN"/>
        </w:rPr>
        <w:t>1</w:t>
      </w:r>
      <w:r>
        <w:rPr>
          <w:rFonts w:hint="eastAsia" w:ascii="仿宋" w:hAnsi="仿宋" w:eastAsia="仿宋" w:cs="仿宋"/>
          <w:bCs w:val="0"/>
          <w:szCs w:val="32"/>
        </w:rPr>
        <w:t>人死亡</w:t>
      </w:r>
      <w:r>
        <w:rPr>
          <w:rFonts w:hint="eastAsia" w:ascii="仿宋" w:hAnsi="仿宋" w:eastAsia="仿宋" w:cs="仿宋"/>
          <w:bCs w:val="0"/>
          <w:szCs w:val="32"/>
          <w:lang w:eastAsia="zh-CN"/>
        </w:rPr>
        <w:t>，</w:t>
      </w:r>
      <w:r>
        <w:rPr>
          <w:rFonts w:hint="eastAsia" w:ascii="仿宋" w:hAnsi="仿宋" w:eastAsia="仿宋" w:cs="仿宋"/>
          <w:bCs w:val="0"/>
          <w:szCs w:val="32"/>
        </w:rPr>
        <w:t>直接经济损失约</w:t>
      </w:r>
      <w:r>
        <w:rPr>
          <w:rFonts w:hint="eastAsia" w:ascii="仿宋" w:hAnsi="仿宋" w:eastAsia="仿宋" w:cs="仿宋"/>
          <w:bCs w:val="0"/>
          <w:szCs w:val="32"/>
          <w:lang w:val="en-US" w:eastAsia="zh-CN"/>
        </w:rPr>
        <w:t>150</w:t>
      </w:r>
      <w:r>
        <w:rPr>
          <w:rFonts w:hint="eastAsia" w:ascii="仿宋" w:hAnsi="仿宋" w:eastAsia="仿宋" w:cs="仿宋"/>
          <w:bCs w:val="0"/>
          <w:szCs w:val="32"/>
        </w:rPr>
        <w:t>万。</w:t>
      </w:r>
    </w:p>
    <w:p>
      <w:pPr>
        <w:pStyle w:val="10"/>
        <w:keepNext w:val="0"/>
        <w:keepLines w:val="0"/>
        <w:pageBreakBefore w:val="0"/>
        <w:kinsoku/>
        <w:wordWrap/>
        <w:overflowPunct/>
        <w:topLinePunct w:val="0"/>
        <w:bidi w:val="0"/>
        <w:snapToGrid/>
        <w:spacing w:line="560" w:lineRule="exact"/>
        <w:ind w:left="0" w:leftChars="0" w:firstLine="640" w:firstLineChars="0"/>
        <w:textAlignment w:val="auto"/>
        <w:rPr>
          <w:rFonts w:hint="default" w:ascii="黑体" w:hAnsi="黑体" w:eastAsia="黑体" w:cs="黑体"/>
          <w:bCs w:val="0"/>
          <w:kern w:val="2"/>
          <w:sz w:val="32"/>
          <w:szCs w:val="32"/>
          <w:lang w:val="en-US" w:eastAsia="zh-CN" w:bidi="ar-SA"/>
        </w:rPr>
      </w:pPr>
      <w:r>
        <w:rPr>
          <w:rFonts w:hint="eastAsia" w:ascii="黑体" w:hAnsi="黑体" w:eastAsia="黑体" w:cs="黑体"/>
          <w:bCs w:val="0"/>
          <w:kern w:val="2"/>
          <w:sz w:val="32"/>
          <w:szCs w:val="32"/>
          <w:lang w:val="en-US" w:eastAsia="zh-CN" w:bidi="ar-SA"/>
        </w:rPr>
        <w:t>二、事故应急处置及评估情况</w:t>
      </w:r>
    </w:p>
    <w:p>
      <w:pPr>
        <w:keepNext w:val="0"/>
        <w:keepLines w:val="0"/>
        <w:pageBreakBefore w:val="0"/>
        <w:kinsoku/>
        <w:wordWrap/>
        <w:overflowPunct/>
        <w:topLinePunct w:val="0"/>
        <w:bidi w:val="0"/>
        <w:snapToGrid/>
        <w:spacing w:line="560" w:lineRule="exact"/>
        <w:ind w:firstLine="640" w:firstLineChars="200"/>
        <w:textAlignment w:val="auto"/>
        <w:rPr>
          <w:rFonts w:hint="default" w:ascii="楷体" w:hAnsi="楷体" w:eastAsia="楷体" w:cs="楷体"/>
          <w:sz w:val="32"/>
          <w:szCs w:val="32"/>
          <w:lang w:val="en-US"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一</w:t>
      </w: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事故信息接报及响应情况</w:t>
      </w:r>
    </w:p>
    <w:p>
      <w:pPr>
        <w:keepNext w:val="0"/>
        <w:keepLines w:val="0"/>
        <w:pageBreakBefore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2026年6月16日14时53分许，利嘉公司电工赵钟利在利嘉商贸城11号馆负一楼卫生间门口使用铝合金人字梯对吊顶上的线路进行检修，突发触电，从人字梯上跌落。路过的二手车中介陈亮亮发现后让朋友拨打120并告知利嘉公司陈道勇，利嘉公司管理人员到场后按照医护人员的提示进行现场急救，医护人员随后赶到将赵钟利送往省立医院金山院区抢救。2026年6月22日9时59分，利嘉公司人事专员张敏打电话向仓山区应急管理局报告该起事故。</w:t>
      </w:r>
    </w:p>
    <w:p>
      <w:pPr>
        <w:keepNext w:val="0"/>
        <w:keepLines w:val="0"/>
        <w:pageBreakBefore w:val="0"/>
        <w:numPr>
          <w:ilvl w:val="0"/>
          <w:numId w:val="1"/>
        </w:numPr>
        <w:kinsoku/>
        <w:wordWrap/>
        <w:overflowPunct/>
        <w:topLinePunct w:val="0"/>
        <w:bidi w:val="0"/>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事故应急救援和善后处置情况</w:t>
      </w:r>
    </w:p>
    <w:p>
      <w:pPr>
        <w:keepNext w:val="0"/>
        <w:keepLines w:val="0"/>
        <w:pageBreakBefore w:val="0"/>
        <w:numPr>
          <w:ilvl w:val="0"/>
          <w:numId w:val="0"/>
        </w:numPr>
        <w:kinsoku/>
        <w:wordWrap/>
        <w:overflowPunct/>
        <w:topLinePunct w:val="0"/>
        <w:bidi w:val="0"/>
        <w:snapToGrid/>
        <w:spacing w:line="560" w:lineRule="exact"/>
        <w:textAlignment w:val="auto"/>
        <w:rPr>
          <w:rFonts w:hint="default" w:ascii="仿宋" w:hAnsi="仿宋" w:eastAsia="仿宋" w:cs="仿宋"/>
          <w:sz w:val="32"/>
          <w:szCs w:val="32"/>
          <w:lang w:val="en-US" w:eastAsia="zh-CN"/>
        </w:rPr>
      </w:pPr>
      <w:r>
        <w:rPr>
          <w:rFonts w:hint="eastAsia" w:ascii="楷体" w:hAnsi="楷体" w:eastAsia="楷体" w:cs="楷体"/>
          <w:sz w:val="32"/>
          <w:szCs w:val="32"/>
          <w:lang w:val="en-US" w:eastAsia="zh-CN"/>
        </w:rPr>
        <w:t xml:space="preserve">    </w:t>
      </w:r>
      <w:r>
        <w:rPr>
          <w:rFonts w:hint="eastAsia" w:ascii="仿宋_GB2312" w:hAnsi="仿宋_GB2312" w:eastAsia="仿宋_GB2312" w:cs="仿宋_GB2312"/>
          <w:b w:val="0"/>
          <w:bCs/>
          <w:i w:val="0"/>
          <w:color w:val="auto"/>
          <w:spacing w:val="0"/>
          <w:w w:val="100"/>
          <w:kern w:val="21"/>
          <w:sz w:val="32"/>
          <w:szCs w:val="32"/>
          <w:lang w:val="en-US" w:eastAsia="zh-CN"/>
        </w:rPr>
        <w:t>利嘉公司管理人员按照</w:t>
      </w:r>
      <w:r>
        <w:rPr>
          <w:rFonts w:hint="eastAsia" w:ascii="仿宋" w:hAnsi="仿宋" w:eastAsia="仿宋" w:cs="仿宋"/>
          <w:sz w:val="32"/>
          <w:szCs w:val="32"/>
          <w:lang w:val="en-US" w:eastAsia="zh-CN"/>
        </w:rPr>
        <w:t>120</w:t>
      </w:r>
      <w:r>
        <w:rPr>
          <w:rFonts w:hint="eastAsia" w:ascii="仿宋_GB2312" w:hAnsi="仿宋_GB2312" w:eastAsia="仿宋_GB2312" w:cs="仿宋_GB2312"/>
          <w:b w:val="0"/>
          <w:bCs/>
          <w:i w:val="0"/>
          <w:color w:val="auto"/>
          <w:spacing w:val="0"/>
          <w:w w:val="100"/>
          <w:kern w:val="21"/>
          <w:sz w:val="32"/>
          <w:szCs w:val="32"/>
          <w:lang w:val="en-US" w:eastAsia="zh-CN"/>
        </w:rPr>
        <w:t>医护人员的提示进行现场急救</w:t>
      </w:r>
      <w:r>
        <w:rPr>
          <w:rFonts w:hint="eastAsia" w:ascii="仿宋" w:hAnsi="仿宋" w:eastAsia="仿宋" w:cs="仿宋"/>
          <w:sz w:val="32"/>
          <w:szCs w:val="32"/>
          <w:lang w:val="en-US" w:eastAsia="zh-CN"/>
        </w:rPr>
        <w:t>，</w:t>
      </w:r>
      <w:r>
        <w:rPr>
          <w:rFonts w:hint="eastAsia" w:ascii="仿宋_GB2312" w:hAnsi="仿宋_GB2312" w:eastAsia="仿宋_GB2312" w:cs="仿宋_GB2312"/>
          <w:b w:val="0"/>
          <w:bCs/>
          <w:i w:val="0"/>
          <w:color w:val="auto"/>
          <w:spacing w:val="0"/>
          <w:w w:val="100"/>
          <w:kern w:val="21"/>
          <w:sz w:val="32"/>
          <w:szCs w:val="32"/>
          <w:lang w:val="en-US" w:eastAsia="zh-CN"/>
        </w:rPr>
        <w:t>随后赶到将赵钟利送至医院抢救</w:t>
      </w:r>
      <w:r>
        <w:rPr>
          <w:rFonts w:hint="eastAsia" w:ascii="仿宋" w:hAnsi="仿宋" w:eastAsia="仿宋" w:cs="仿宋"/>
          <w:sz w:val="32"/>
          <w:szCs w:val="32"/>
          <w:lang w:val="en-US" w:eastAsia="zh-CN"/>
        </w:rPr>
        <w:t>。事故发生后，</w:t>
      </w:r>
      <w:r>
        <w:rPr>
          <w:rFonts w:hint="eastAsia" w:ascii="仿宋" w:hAnsi="仿宋" w:eastAsia="仿宋" w:cs="仿宋"/>
          <w:bCs w:val="0"/>
          <w:kern w:val="0"/>
          <w:sz w:val="32"/>
          <w:szCs w:val="32"/>
          <w:lang w:val="en-US" w:eastAsia="zh-CN" w:bidi="ar-SA"/>
        </w:rPr>
        <w:t>盖山派出所、盖山镇人民政府积极协调赔偿事宜，事故各项善后工作措</w:t>
      </w:r>
      <w:r>
        <w:rPr>
          <w:rFonts w:hint="eastAsia" w:ascii="仿宋" w:hAnsi="仿宋" w:eastAsia="仿宋" w:cs="仿宋"/>
          <w:sz w:val="32"/>
          <w:szCs w:val="32"/>
          <w:lang w:val="en-US" w:eastAsia="zh-CN"/>
        </w:rPr>
        <w:t>施得当，平稳有序。</w:t>
      </w:r>
    </w:p>
    <w:p>
      <w:pPr>
        <w:keepNext w:val="0"/>
        <w:keepLines w:val="0"/>
        <w:pageBreakBefore w:val="0"/>
        <w:numPr>
          <w:ilvl w:val="0"/>
          <w:numId w:val="0"/>
        </w:numPr>
        <w:kinsoku/>
        <w:wordWrap/>
        <w:overflowPunct/>
        <w:topLinePunct w:val="0"/>
        <w:bidi w:val="0"/>
        <w:snapToGrid/>
        <w:spacing w:line="560" w:lineRule="exact"/>
        <w:ind w:firstLine="640" w:firstLineChars="200"/>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（三）事故应急处置评估</w:t>
      </w:r>
    </w:p>
    <w:p>
      <w:pPr>
        <w:keepNext w:val="0"/>
        <w:keepLines w:val="0"/>
        <w:pageBreakBefore w:val="0"/>
        <w:numPr>
          <w:ilvl w:val="0"/>
          <w:numId w:val="0"/>
        </w:numPr>
        <w:kinsoku/>
        <w:wordWrap/>
        <w:overflowPunct/>
        <w:topLinePunct w:val="0"/>
        <w:bidi w:val="0"/>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事故发生后，医疗急救部门迅速赶赴现场开展应急处置和救援行动，未造成次生、衍生事故，应急处置科学有效。</w:t>
      </w:r>
    </w:p>
    <w:p>
      <w:pPr>
        <w:keepNext w:val="0"/>
        <w:keepLines w:val="0"/>
        <w:pageBreakBefore w:val="0"/>
        <w:kinsoku/>
        <w:wordWrap/>
        <w:overflowPunct/>
        <w:topLinePunct w:val="0"/>
        <w:bidi w:val="0"/>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、事故基本调查事实</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1.根据视频监控画面反映及商场管理员陈道勇的《询问笔录》反映，赵钟利头戴头灯，腰上绑着工具包，站在铝合金人字梯上，将身体上半部分探入吊顶，14时53分视频监控画面出现火花，随后赵钟利从人字梯上跌落。经现场测量结合视频监控画面，赵钟利作业时在人字梯上站立高度约为2.1米，现场未见安全帽、安全带、绝缘手套等安全防护用品。</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2.根据福州大学附属省立医院入院记录反映，赵钟利入院时神智昏迷，双侧瞳孔散大，对光反射消失，顶部见头皮裂伤，左眼睑肿胀明显，可见淤青，双手可见电击伤，皮肤损伤明显，右手为著，双下肢未见明显出血，浮肿，各颅神经检查不能配合，压眶及刺痛肢体无明显反应，四肢肌张力增高，肌力检查不能配合，膝腱反射、跟腱反射消失，双侧巴氏征阳性，小脑征不能检查。</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3.根据仓山区盖山镇卫生院居民死亡医学证明（推断）书反映，赵钟利死亡原因为左额顶颞枕部硬膜下血肿、蛛网膜下腔出血（头部外伤导致）。</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4.根据调查组调取的涉事项目相关资料及相关人员笔录反映，利嘉公司仅制定了《全员责任制》《用电安全管理制度》《电工登高作业操作规程》《安全生产教育培训管理制度》《隐患排查和治理制度》，未对从业人员进行三级教育培训，未对临时用电及高处作业等危险作业进行审批，未制定生产安全事故应急预案。</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5.经应急管理部官方网站特种作业操作证及安全生产知识和管理能力考核合格信息查询平台（网址：https://cx.mem.gov.cn）查询，赵钟利电工作业特种作业操作证已于2025年12月1日到期，未延续换证。利嘉公司明知其电工作业特种作业操作证已过有效期，仍安排其从事水电工岗位。</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6.根据调查组提供的福州市生产安全事故快报登记表反映，该事故2026年6月16日14时53分发生，利嘉公司2026年6月22日9时59分上报仓山区应急管理局，属于迟报事故。</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Times New Roman" w:hAnsi="Times New Roman" w:eastAsia="方正仿宋_GB2312" w:cs="方正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7.由于利嘉公司未妥善保护事故现场以及相关证据，导致调查组无法还原事故现场，无法判断赵钟利触电时物的不安全状态。</w:t>
      </w:r>
    </w:p>
    <w:p>
      <w:pPr>
        <w:keepNext w:val="0"/>
        <w:keepLines w:val="0"/>
        <w:pageBreakBefore w:val="0"/>
        <w:kinsoku/>
        <w:wordWrap/>
        <w:overflowPunct/>
        <w:topLinePunct w:val="0"/>
        <w:bidi w:val="0"/>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w:t>
      </w:r>
      <w:r>
        <w:rPr>
          <w:rFonts w:hint="eastAsia" w:ascii="黑体" w:hAnsi="黑体" w:eastAsia="黑体" w:cs="黑体"/>
          <w:sz w:val="32"/>
          <w:szCs w:val="32"/>
        </w:rPr>
        <w:t>、事故原因</w:t>
      </w:r>
      <w:r>
        <w:rPr>
          <w:rFonts w:hint="eastAsia" w:ascii="黑体" w:hAnsi="黑体" w:eastAsia="黑体" w:cs="黑体"/>
          <w:sz w:val="32"/>
          <w:szCs w:val="32"/>
          <w:lang w:val="en-US" w:eastAsia="zh-CN"/>
        </w:rPr>
        <w:t>分析</w:t>
      </w:r>
    </w:p>
    <w:p>
      <w:pPr>
        <w:pStyle w:val="9"/>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bookmarkStart w:id="0" w:name="_Toc23376"/>
      <w:r>
        <w:rPr>
          <w:rFonts w:hint="eastAsia" w:ascii="方正楷体_GB2312" w:hAnsi="方正楷体_GB2312" w:eastAsia="方正楷体_GB2312" w:cs="方正楷体_GB2312"/>
          <w:b w:val="0"/>
          <w:bCs/>
          <w:i w:val="0"/>
          <w:color w:val="auto"/>
          <w:spacing w:val="0"/>
          <w:w w:val="100"/>
          <w:kern w:val="21"/>
          <w:sz w:val="32"/>
          <w:szCs w:val="32"/>
          <w:lang w:val="en-US" w:eastAsia="zh-CN"/>
        </w:rPr>
        <w:t>（一）事故直接原因</w:t>
      </w:r>
      <w:bookmarkEnd w:id="0"/>
    </w:p>
    <w:p>
      <w:pPr>
        <w:pStyle w:val="9"/>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b w:val="0"/>
          <w:bCs/>
          <w:i w:val="0"/>
          <w:color w:val="auto"/>
          <w:spacing w:val="0"/>
          <w:w w:val="100"/>
          <w:kern w:val="21"/>
          <w:sz w:val="32"/>
          <w:szCs w:val="32"/>
          <w:lang w:val="en-US" w:eastAsia="zh-CN"/>
        </w:rPr>
        <w:t>赵钟利特种作业操作证过期仍从事特种作业，开展吊顶线路检修作业前，未佩戴劳动防护用品，未执行停电、验电、挂牌上锁等电气检修安全技术措施，触电后从人字梯直接坠落地面，头部猛烈撞击地面，经抢救无效最终死亡。</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outlineLvl w:val="1"/>
        <w:rPr>
          <w:rFonts w:hint="eastAsia" w:ascii="方正楷体_GB2312" w:hAnsi="方正楷体_GB2312" w:eastAsia="方正楷体_GB2312" w:cs="方正楷体_GB2312"/>
          <w:b w:val="0"/>
          <w:bCs/>
          <w:i w:val="0"/>
          <w:color w:val="auto"/>
          <w:spacing w:val="0"/>
          <w:w w:val="100"/>
          <w:kern w:val="21"/>
          <w:sz w:val="32"/>
          <w:szCs w:val="32"/>
          <w:lang w:val="en-US" w:eastAsia="zh-CN"/>
        </w:rPr>
      </w:pPr>
      <w:bookmarkStart w:id="1" w:name="_Toc20158"/>
      <w:r>
        <w:rPr>
          <w:rFonts w:hint="eastAsia" w:ascii="方正楷体_GB2312" w:hAnsi="方正楷体_GB2312" w:eastAsia="方正楷体_GB2312" w:cs="方正楷体_GB2312"/>
          <w:b w:val="0"/>
          <w:bCs/>
          <w:i w:val="0"/>
          <w:color w:val="auto"/>
          <w:spacing w:val="0"/>
          <w:w w:val="100"/>
          <w:kern w:val="21"/>
          <w:sz w:val="32"/>
          <w:szCs w:val="32"/>
          <w:lang w:val="en-US" w:eastAsia="zh-CN"/>
        </w:rPr>
        <w:t>（二）事故间接原因</w:t>
      </w:r>
      <w:bookmarkEnd w:id="1"/>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eastAsia" w:ascii="仿宋_GB2312" w:hAnsi="仿宋_GB2312" w:eastAsia="仿宋_GB2312" w:cs="仿宋_GB2312"/>
          <w:b w:val="0"/>
          <w:bCs/>
          <w:i w:val="0"/>
          <w:color w:val="auto"/>
          <w:spacing w:val="0"/>
          <w:w w:val="100"/>
          <w:kern w:val="21"/>
          <w:sz w:val="32"/>
          <w:szCs w:val="32"/>
          <w:lang w:val="en-US" w:eastAsia="zh-CN"/>
        </w:rPr>
      </w:pPr>
      <w:r>
        <w:rPr>
          <w:rFonts w:hint="eastAsia" w:ascii="仿宋_GB2312" w:hAnsi="仿宋_GB2312" w:eastAsia="仿宋_GB2312" w:cs="仿宋_GB2312"/>
          <w:sz w:val="32"/>
          <w:szCs w:val="32"/>
          <w:lang w:val="en-US" w:eastAsia="zh-CN"/>
        </w:rPr>
        <w:t>福州利嘉亚太汽车后市场智慧产业园发展有限公司企业人员资质管理缺失，违规安排证件失效人员从事电工特种作业；未落实从业人员三级安全教育；危险作业审批、现场监护、安全技术交底等管控措施缺失；安全防护用品配备、使用监管不到位</w:t>
      </w:r>
      <w:r>
        <w:rPr>
          <w:rFonts w:hint="eastAsia" w:ascii="仿宋_GB2312" w:hAnsi="仿宋_GB2312" w:eastAsia="仿宋_GB2312" w:cs="仿宋_GB2312"/>
          <w:b w:val="0"/>
          <w:bCs/>
          <w:i w:val="0"/>
          <w:color w:val="auto"/>
          <w:spacing w:val="0"/>
          <w:w w:val="100"/>
          <w:kern w:val="21"/>
          <w:sz w:val="32"/>
          <w:szCs w:val="32"/>
          <w:lang w:val="en-US" w:eastAsia="zh-CN"/>
        </w:rPr>
        <w:t>。</w:t>
      </w:r>
    </w:p>
    <w:p>
      <w:pPr>
        <w:keepNext w:val="0"/>
        <w:keepLines w:val="0"/>
        <w:pageBreakBefore w:val="0"/>
        <w:kinsoku/>
        <w:wordWrap/>
        <w:overflowPunct/>
        <w:topLinePunct w:val="0"/>
        <w:bidi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、对事故有关单位及责任人的处理建议</w:t>
      </w:r>
    </w:p>
    <w:p>
      <w:pPr>
        <w:keepNext w:val="0"/>
        <w:keepLines w:val="0"/>
        <w:pageBreakBefore w:val="0"/>
        <w:kinsoku/>
        <w:wordWrap/>
        <w:overflowPunct/>
        <w:topLinePunct w:val="0"/>
        <w:bidi w:val="0"/>
        <w:snapToGrid/>
        <w:spacing w:line="560" w:lineRule="exact"/>
        <w:ind w:firstLine="64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w:t>
      </w:r>
      <w:r>
        <w:rPr>
          <w:rFonts w:hint="eastAsia" w:ascii="仿宋_GB2312" w:hAnsi="仿宋_GB2312" w:eastAsia="仿宋_GB2312" w:cs="仿宋_GB2312"/>
          <w:b w:val="0"/>
          <w:bCs/>
          <w:i w:val="0"/>
          <w:color w:val="auto"/>
          <w:spacing w:val="0"/>
          <w:w w:val="100"/>
          <w:kern w:val="21"/>
          <w:sz w:val="32"/>
          <w:szCs w:val="32"/>
          <w:lang w:val="en-US" w:eastAsia="zh-CN"/>
        </w:rPr>
        <w:t>赵钟利，安全意识淡薄，特种作业操作证过期仍从事特种作业，开展吊顶线路检修作业前，未佩戴劳动防护用品，未执行停电、验电、挂牌上锁等电气检修安全技术措施，触电后从人字梯直接坠落地面，头部猛烈撞击地面，经抢救无效最终死亡，</w:t>
      </w:r>
      <w:r>
        <w:rPr>
          <w:rFonts w:hint="eastAsia" w:ascii="仿宋" w:hAnsi="仿宋" w:eastAsia="仿宋" w:cs="仿宋"/>
          <w:kern w:val="0"/>
          <w:sz w:val="32"/>
          <w:szCs w:val="32"/>
          <w:lang w:val="en-US" w:eastAsia="zh-CN" w:bidi="ar-SA"/>
        </w:rPr>
        <w:t>对本起事故负有责任，由于其已死亡，建议免予追究。</w:t>
      </w:r>
    </w:p>
    <w:p>
      <w:pPr>
        <w:keepNext w:val="0"/>
        <w:keepLines w:val="0"/>
        <w:pageBreakBefore w:val="0"/>
        <w:kinsoku/>
        <w:wordWrap/>
        <w:overflowPunct/>
        <w:topLinePunct w:val="0"/>
        <w:bidi w:val="0"/>
        <w:snapToGrid/>
        <w:spacing w:line="560" w:lineRule="exact"/>
        <w:ind w:firstLine="64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w:t>
      </w:r>
      <w:r>
        <w:rPr>
          <w:rFonts w:hint="eastAsia" w:ascii="仿宋_GB2312" w:hAnsi="仿宋_GB2312" w:eastAsia="仿宋_GB2312" w:cs="仿宋_GB2312"/>
          <w:sz w:val="32"/>
          <w:szCs w:val="32"/>
          <w:lang w:val="en-US" w:eastAsia="zh-CN"/>
        </w:rPr>
        <w:t>福州利嘉亚太汽车后市场智慧产业园发展有限公司企业人员资质管理缺失，违规安排证件失效人员从事电工特种作业；未落实从业人员三级安全教育；危险作业审批、现场监护、安全技术交底等管控措施缺失；安全防护用品配备、使用监管不到位</w:t>
      </w:r>
      <w:r>
        <w:rPr>
          <w:rFonts w:hint="eastAsia" w:ascii="仿宋" w:hAnsi="仿宋" w:eastAsia="仿宋" w:cs="仿宋"/>
          <w:sz w:val="32"/>
          <w:szCs w:val="32"/>
          <w:lang w:val="en-US" w:eastAsia="zh-CN"/>
        </w:rPr>
        <w:t>，</w:t>
      </w:r>
      <w:r>
        <w:rPr>
          <w:rFonts w:hint="eastAsia" w:ascii="仿宋" w:hAnsi="仿宋" w:eastAsia="仿宋" w:cs="仿宋"/>
          <w:kern w:val="0"/>
          <w:sz w:val="32"/>
          <w:szCs w:val="32"/>
          <w:lang w:val="en-US" w:eastAsia="zh-CN" w:bidi="ar-SA"/>
        </w:rPr>
        <w:t>对本起事故负有责任，建议由应急管理部门依法对其行政处罚。</w:t>
      </w:r>
    </w:p>
    <w:p>
      <w:pPr>
        <w:pStyle w:val="2"/>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right="0" w:rightChars="0" w:firstLine="640" w:firstLineChars="200"/>
        <w:jc w:val="both"/>
        <w:rPr>
          <w:rFonts w:hint="default" w:ascii="仿宋_GB2312" w:hAnsi="仿宋_GB2312" w:eastAsia="仿宋_GB2312" w:cs="仿宋_GB2312"/>
          <w:b w:val="0"/>
          <w:bCs/>
          <w:i w:val="0"/>
          <w:color w:val="auto"/>
          <w:spacing w:val="0"/>
          <w:w w:val="100"/>
          <w:kern w:val="21"/>
          <w:sz w:val="32"/>
          <w:szCs w:val="32"/>
          <w:lang w:val="en-US" w:eastAsia="zh-CN"/>
        </w:rPr>
      </w:pPr>
      <w:r>
        <w:rPr>
          <w:rFonts w:hint="eastAsia" w:ascii="仿宋" w:hAnsi="仿宋" w:eastAsia="仿宋" w:cs="仿宋"/>
          <w:sz w:val="32"/>
          <w:szCs w:val="32"/>
          <w:lang w:val="en-US" w:eastAsia="zh-CN"/>
        </w:rPr>
        <w:t>3.</w:t>
      </w:r>
      <w:r>
        <w:rPr>
          <w:rFonts w:hint="eastAsia" w:ascii="仿宋_GB2312" w:hAnsi="仿宋_GB2312" w:eastAsia="仿宋_GB2312" w:cs="仿宋_GB2312"/>
          <w:sz w:val="32"/>
          <w:szCs w:val="32"/>
          <w:lang w:val="en-US" w:eastAsia="zh-CN"/>
        </w:rPr>
        <w:t>福州利嘉亚太汽车后市场智慧产业园发展有限公司存在迟报事故的行为</w:t>
      </w:r>
      <w:r>
        <w:rPr>
          <w:rFonts w:hint="eastAsia" w:ascii="仿宋" w:hAnsi="仿宋" w:eastAsia="仿宋" w:cs="仿宋"/>
          <w:kern w:val="0"/>
          <w:sz w:val="32"/>
          <w:szCs w:val="32"/>
          <w:lang w:val="en-US" w:eastAsia="zh-CN" w:bidi="ar-SA"/>
        </w:rPr>
        <w:t>，</w:t>
      </w:r>
      <w:r>
        <w:rPr>
          <w:rFonts w:hint="eastAsia" w:ascii="仿宋" w:hAnsi="仿宋" w:eastAsia="仿宋" w:cs="仿宋"/>
          <w:sz w:val="32"/>
          <w:szCs w:val="32"/>
          <w:lang w:val="en-US" w:eastAsia="zh-CN"/>
        </w:rPr>
        <w:t>建议由</w:t>
      </w:r>
      <w:r>
        <w:rPr>
          <w:rFonts w:hint="eastAsia" w:ascii="仿宋" w:hAnsi="仿宋" w:eastAsia="仿宋" w:cs="仿宋"/>
          <w:kern w:val="0"/>
          <w:sz w:val="32"/>
          <w:szCs w:val="32"/>
          <w:lang w:val="en-US" w:eastAsia="zh-CN" w:bidi="ar-SA"/>
        </w:rPr>
        <w:t>应急管理部门</w:t>
      </w:r>
      <w:r>
        <w:rPr>
          <w:rFonts w:hint="eastAsia" w:ascii="仿宋" w:hAnsi="仿宋" w:eastAsia="仿宋" w:cs="仿宋"/>
          <w:sz w:val="32"/>
          <w:szCs w:val="32"/>
          <w:lang w:val="en-US" w:eastAsia="zh-CN"/>
        </w:rPr>
        <w:t>依法对其主要负责人行政处罚。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hAnsi="仿宋_GB231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、事故防范和整改措施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为深刻吸取事故教训，举一反三，有效防范和减少触电事故，提出以下建议：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（一）加强违法行为打击力度。相关行业部门要加强用电安全管理，进一步整治违法电工作业行为，要加大对用电安全违法行为打击力度，切实做好触电事故预防工作，坚决遏制</w:t>
      </w:r>
      <w:r>
        <w:rPr>
          <w:rFonts w:hint="eastAsia" w:ascii="仿宋_GB2312" w:hAnsi="仿宋_GB2312" w:eastAsia="仿宋_GB2312" w:cs="仿宋_GB2312"/>
          <w:kern w:val="2"/>
          <w:sz w:val="32"/>
          <w:szCs w:val="32"/>
          <w:lang w:val="en-US" w:eastAsia="zh-Hans" w:bidi="ar"/>
        </w:rPr>
        <w:t>死伤</w:t>
      </w:r>
      <w:r>
        <w:rPr>
          <w:rFonts w:hint="eastAsia" w:ascii="仿宋_GB2312" w:hAnsi="仿宋_GB2312" w:eastAsia="仿宋_GB2312" w:cs="仿宋_GB2312"/>
          <w:kern w:val="2"/>
          <w:sz w:val="32"/>
          <w:szCs w:val="32"/>
          <w:lang w:val="en-US" w:eastAsia="zh-CN" w:bidi="ar"/>
        </w:rPr>
        <w:t>事故发生。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（二）加强重点企业监督管理。相关行业主管部门加强对</w:t>
      </w:r>
      <w:r>
        <w:rPr>
          <w:rFonts w:hint="eastAsia" w:ascii="仿宋_GB2312" w:hAnsi="仿宋_GB2312" w:eastAsia="仿宋_GB2312" w:cs="仿宋_GB2312"/>
          <w:kern w:val="2"/>
          <w:sz w:val="32"/>
          <w:szCs w:val="32"/>
          <w:lang w:val="en-US" w:eastAsia="zh-Hans" w:bidi="ar"/>
        </w:rPr>
        <w:t>相关</w:t>
      </w:r>
      <w:r>
        <w:rPr>
          <w:rFonts w:hint="eastAsia" w:ascii="仿宋_GB2312" w:hAnsi="仿宋_GB2312" w:eastAsia="仿宋_GB2312" w:cs="仿宋_GB2312"/>
          <w:kern w:val="2"/>
          <w:sz w:val="32"/>
          <w:szCs w:val="32"/>
          <w:lang w:val="en-US" w:eastAsia="zh-CN" w:bidi="ar"/>
        </w:rPr>
        <w:t>企业的督导检查，强化用电安全管理，</w:t>
      </w:r>
      <w:r>
        <w:rPr>
          <w:rFonts w:hint="eastAsia" w:ascii="仿宋_GB2312" w:hAnsi="仿宋_GB2312" w:eastAsia="仿宋_GB2312" w:cs="仿宋_GB2312"/>
          <w:kern w:val="2"/>
          <w:sz w:val="32"/>
          <w:szCs w:val="32"/>
          <w:lang w:val="en-US" w:eastAsia="zh-Hans" w:bidi="ar"/>
        </w:rPr>
        <w:t>压实企业主体责任</w:t>
      </w:r>
      <w:r>
        <w:rPr>
          <w:rFonts w:hint="eastAsia" w:ascii="仿宋_GB2312" w:hAnsi="仿宋_GB2312" w:eastAsia="仿宋_GB2312" w:cs="仿宋_GB2312"/>
          <w:kern w:val="2"/>
          <w:sz w:val="32"/>
          <w:szCs w:val="32"/>
          <w:lang w:val="en-US" w:eastAsia="zh-CN" w:bidi="ar"/>
        </w:rPr>
        <w:t>，做好电工作业人员持证上岗管理，加强电工作业人员安全生产教育和培训工作，确保各企业严格落实安全生产责任。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三）加强用电安全宣传工作。相关行业部门要针对电工作业等重点管理对象，加强安全宣传，引导电工作业人员遵章守法，通过社会全方位多渠道地开展宣传工作，广泛传播用电安全理念，不断提高人民群众的安全用电意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right="0" w:rightChars="0"/>
        <w:jc w:val="both"/>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right="0" w:rightChars="0"/>
        <w:jc w:val="both"/>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right="0" w:rightChars="0"/>
        <w:jc w:val="both"/>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仓山盖山“6·16”死亡事故调查组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2026年8月11日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right"/>
        <w:textAlignment w:val="auto"/>
        <w:outlineLvl w:val="9"/>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rightChars="0" w:firstLine="640" w:firstLineChars="200"/>
        <w:jc w:val="left"/>
        <w:textAlignment w:val="auto"/>
        <w:outlineLvl w:val="9"/>
        <w:rPr>
          <w:rFonts w:hint="eastAsia" w:ascii="仿宋_GB2312" w:hAnsi="仿宋_GB2312" w:eastAsia="仿宋_GB2312" w:cs="仿宋_GB2312"/>
          <w:kern w:val="2"/>
          <w:sz w:val="32"/>
          <w:szCs w:val="32"/>
          <w:lang w:val="en-US" w:eastAsia="zh-CN" w:bidi="ar"/>
        </w:rPr>
      </w:pPr>
    </w:p>
    <w:p>
      <w:pPr>
        <w:pStyle w:val="18"/>
        <w:keepNext w:val="0"/>
        <w:keepLines w:val="0"/>
        <w:pageBreakBefore w:val="0"/>
        <w:kinsoku/>
        <w:wordWrap/>
        <w:overflowPunct/>
        <w:topLinePunct w:val="0"/>
        <w:bidi w:val="0"/>
        <w:snapToGrid/>
        <w:spacing w:line="560" w:lineRule="exact"/>
        <w:textAlignment w:val="auto"/>
      </w:pP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0F279D-E007-4BC8-89C8-D7B5F043AA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C4EE6D3E-BC82-4981-B80C-D0B2D0249C8B}"/>
  </w:font>
  <w:font w:name="方正小标宋简体">
    <w:panose1 w:val="02000000000000000000"/>
    <w:charset w:val="86"/>
    <w:family w:val="auto"/>
    <w:pitch w:val="default"/>
    <w:sig w:usb0="00000001" w:usb1="08000000" w:usb2="00000000" w:usb3="00000000" w:csb0="00040000" w:csb1="00000000"/>
    <w:embedRegular r:id="rId3" w:fontKey="{2A8AE954-04B4-4A17-AF4D-EDFA9DB44A3E}"/>
  </w:font>
  <w:font w:name="仿宋">
    <w:panose1 w:val="02010609060101010101"/>
    <w:charset w:val="86"/>
    <w:family w:val="modern"/>
    <w:pitch w:val="default"/>
    <w:sig w:usb0="800002BF" w:usb1="38CF7CFA" w:usb2="00000016" w:usb3="00000000" w:csb0="00040001" w:csb1="00000000"/>
    <w:embedRegular r:id="rId4" w:fontKey="{206A1CE5-6CAE-46C8-A6F7-B27AA9AA6C49}"/>
  </w:font>
  <w:font w:name="方正仿宋_GB2312">
    <w:altName w:val="仿宋"/>
    <w:panose1 w:val="02000000000000000000"/>
    <w:charset w:val="86"/>
    <w:family w:val="auto"/>
    <w:pitch w:val="default"/>
    <w:sig w:usb0="00000000" w:usb1="00000000" w:usb2="00000012" w:usb3="00000000" w:csb0="00040001" w:csb1="00000000"/>
    <w:embedRegular r:id="rId5" w:fontKey="{8A0786E7-2F5D-44AA-945A-734A76EF9292}"/>
  </w:font>
  <w:font w:name="楷体_GB2312">
    <w:altName w:val="楷体"/>
    <w:panose1 w:val="02010609030101010101"/>
    <w:charset w:val="86"/>
    <w:family w:val="auto"/>
    <w:pitch w:val="default"/>
    <w:sig w:usb0="00000000" w:usb1="00000000" w:usb2="00000000" w:usb3="00000000" w:csb0="00040000" w:csb1="00000000"/>
    <w:embedRegular r:id="rId6" w:fontKey="{2A85BCD9-A4E3-47F9-9160-5ADF69713A8D}"/>
  </w:font>
  <w:font w:name="楷体">
    <w:panose1 w:val="02010609060101010101"/>
    <w:charset w:val="86"/>
    <w:family w:val="modern"/>
    <w:pitch w:val="default"/>
    <w:sig w:usb0="800002BF" w:usb1="38CF7CFA" w:usb2="00000016" w:usb3="00000000" w:csb0="00040001" w:csb1="00000000"/>
    <w:embedRegular r:id="rId7" w:fontKey="{9CBA22BA-1359-4E3B-ACE5-C6596509332E}"/>
  </w:font>
  <w:font w:name="方正楷体_GB2312">
    <w:altName w:val="宋体"/>
    <w:panose1 w:val="02000000000000000000"/>
    <w:charset w:val="86"/>
    <w:family w:val="auto"/>
    <w:pitch w:val="default"/>
    <w:sig w:usb0="00000000" w:usb1="00000000" w:usb2="00000012" w:usb3="00000000" w:csb0="00040001" w:csb1="00000000"/>
    <w:embedRegular r:id="rId8" w:fontKey="{1937E4DA-7EF0-439F-A479-FD5F8F040FD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235D3"/>
    <w:multiLevelType w:val="singleLevel"/>
    <w:tmpl w:val="FF9235D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xOTg5NjNmYjE5YjVhZmVmNjlmNjdmMDVkZGZkMDMifQ=="/>
  </w:docVars>
  <w:rsids>
    <w:rsidRoot w:val="00CC3B88"/>
    <w:rsid w:val="00042D4F"/>
    <w:rsid w:val="000E3101"/>
    <w:rsid w:val="001536B7"/>
    <w:rsid w:val="001B5425"/>
    <w:rsid w:val="001C3650"/>
    <w:rsid w:val="001E220E"/>
    <w:rsid w:val="0023447E"/>
    <w:rsid w:val="00280020"/>
    <w:rsid w:val="003A2562"/>
    <w:rsid w:val="003D4FA7"/>
    <w:rsid w:val="00533032"/>
    <w:rsid w:val="005B0A38"/>
    <w:rsid w:val="00600837"/>
    <w:rsid w:val="00617912"/>
    <w:rsid w:val="006253D8"/>
    <w:rsid w:val="007508C7"/>
    <w:rsid w:val="007D13F8"/>
    <w:rsid w:val="00810217"/>
    <w:rsid w:val="00890B40"/>
    <w:rsid w:val="008913D9"/>
    <w:rsid w:val="008B0F5B"/>
    <w:rsid w:val="00917E5D"/>
    <w:rsid w:val="009356DA"/>
    <w:rsid w:val="0095543C"/>
    <w:rsid w:val="00A313F6"/>
    <w:rsid w:val="00A90045"/>
    <w:rsid w:val="00B26BD6"/>
    <w:rsid w:val="00B91F4C"/>
    <w:rsid w:val="00BE6EC4"/>
    <w:rsid w:val="00C367DD"/>
    <w:rsid w:val="00C97578"/>
    <w:rsid w:val="00CC3B88"/>
    <w:rsid w:val="00CF2E5A"/>
    <w:rsid w:val="00D247A1"/>
    <w:rsid w:val="00D50AD9"/>
    <w:rsid w:val="00E13E69"/>
    <w:rsid w:val="00E435A8"/>
    <w:rsid w:val="00FD512C"/>
    <w:rsid w:val="00FF1FE1"/>
    <w:rsid w:val="01623593"/>
    <w:rsid w:val="042E05E9"/>
    <w:rsid w:val="071E1F2E"/>
    <w:rsid w:val="0A0A1357"/>
    <w:rsid w:val="0B227B7D"/>
    <w:rsid w:val="0FDE78BD"/>
    <w:rsid w:val="12DC5101"/>
    <w:rsid w:val="13C8322D"/>
    <w:rsid w:val="13E02182"/>
    <w:rsid w:val="18011D43"/>
    <w:rsid w:val="18DE745D"/>
    <w:rsid w:val="1E2F4BC4"/>
    <w:rsid w:val="228356A4"/>
    <w:rsid w:val="2479566D"/>
    <w:rsid w:val="289B6CD2"/>
    <w:rsid w:val="2A2C16BD"/>
    <w:rsid w:val="2B914A4A"/>
    <w:rsid w:val="2BFE46F8"/>
    <w:rsid w:val="2D482A15"/>
    <w:rsid w:val="2EE11050"/>
    <w:rsid w:val="2F76551D"/>
    <w:rsid w:val="3288513F"/>
    <w:rsid w:val="355A5C32"/>
    <w:rsid w:val="36581F6E"/>
    <w:rsid w:val="37D6CD53"/>
    <w:rsid w:val="394D6D12"/>
    <w:rsid w:val="3A522118"/>
    <w:rsid w:val="3BBE3E66"/>
    <w:rsid w:val="3BCB5766"/>
    <w:rsid w:val="3BCFD2CA"/>
    <w:rsid w:val="3BD3B611"/>
    <w:rsid w:val="3CE16CE8"/>
    <w:rsid w:val="3FDBD2D4"/>
    <w:rsid w:val="42D77239"/>
    <w:rsid w:val="467A28B1"/>
    <w:rsid w:val="4C233756"/>
    <w:rsid w:val="4CF13FB3"/>
    <w:rsid w:val="4FEC2E77"/>
    <w:rsid w:val="4FFD9324"/>
    <w:rsid w:val="50E05A6E"/>
    <w:rsid w:val="567F383B"/>
    <w:rsid w:val="56906E01"/>
    <w:rsid w:val="57FF216B"/>
    <w:rsid w:val="5BFFDA34"/>
    <w:rsid w:val="5C991115"/>
    <w:rsid w:val="5FA5238F"/>
    <w:rsid w:val="5FF75C14"/>
    <w:rsid w:val="601A6F78"/>
    <w:rsid w:val="6594370E"/>
    <w:rsid w:val="65DF1348"/>
    <w:rsid w:val="6794D17D"/>
    <w:rsid w:val="68617948"/>
    <w:rsid w:val="69891532"/>
    <w:rsid w:val="6A357CF5"/>
    <w:rsid w:val="6A5FAD41"/>
    <w:rsid w:val="6ABE67EF"/>
    <w:rsid w:val="6CCD1316"/>
    <w:rsid w:val="6E7B659D"/>
    <w:rsid w:val="71CA6A28"/>
    <w:rsid w:val="720A6A97"/>
    <w:rsid w:val="728B56E2"/>
    <w:rsid w:val="73335B6A"/>
    <w:rsid w:val="74546BEB"/>
    <w:rsid w:val="77DF0030"/>
    <w:rsid w:val="79913D8E"/>
    <w:rsid w:val="7A9FC348"/>
    <w:rsid w:val="7AFF09A0"/>
    <w:rsid w:val="7B9F349F"/>
    <w:rsid w:val="7BBFC11A"/>
    <w:rsid w:val="7BD65E39"/>
    <w:rsid w:val="7BEFF2C6"/>
    <w:rsid w:val="7BFF4192"/>
    <w:rsid w:val="7C365D76"/>
    <w:rsid w:val="7CF656DE"/>
    <w:rsid w:val="7D7F0C98"/>
    <w:rsid w:val="7DDD3D8F"/>
    <w:rsid w:val="7EE14CBC"/>
    <w:rsid w:val="7EF18858"/>
    <w:rsid w:val="7F1B1180"/>
    <w:rsid w:val="7FB7B63E"/>
    <w:rsid w:val="7FDD2751"/>
    <w:rsid w:val="7FEB4311"/>
    <w:rsid w:val="7FFF4284"/>
    <w:rsid w:val="7FFFD54F"/>
    <w:rsid w:val="9D7B2D2C"/>
    <w:rsid w:val="9DDA4EE0"/>
    <w:rsid w:val="9FFFF38B"/>
    <w:rsid w:val="AE6F83FC"/>
    <w:rsid w:val="B9EF72A2"/>
    <w:rsid w:val="BDEB8433"/>
    <w:rsid w:val="BFFF8D30"/>
    <w:rsid w:val="C5DD91D2"/>
    <w:rsid w:val="CDBBF136"/>
    <w:rsid w:val="CFFFD44A"/>
    <w:rsid w:val="DDFF3082"/>
    <w:rsid w:val="EB9FE809"/>
    <w:rsid w:val="EBB5A54B"/>
    <w:rsid w:val="EFEB0C7E"/>
    <w:rsid w:val="EFED21C0"/>
    <w:rsid w:val="F3BB0543"/>
    <w:rsid w:val="F65F9C6A"/>
    <w:rsid w:val="F76F5182"/>
    <w:rsid w:val="F9A3CA1E"/>
    <w:rsid w:val="FAFB2F19"/>
    <w:rsid w:val="FBC80AE1"/>
    <w:rsid w:val="FBFB7CD6"/>
    <w:rsid w:val="FD9BDEDB"/>
    <w:rsid w:val="FEBAF368"/>
    <w:rsid w:val="FEFCDF2F"/>
    <w:rsid w:val="FFA68342"/>
    <w:rsid w:val="FFBDE92E"/>
    <w:rsid w:val="FFDC9EFF"/>
    <w:rsid w:val="FFDF442F"/>
    <w:rsid w:val="FFEFD18B"/>
    <w:rsid w:val="FFFF2969"/>
    <w:rsid w:val="FFFF49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0" w:semiHidden="0" w:name="Normal Indent"/>
    <w:lsdException w:qFormat="1" w:unhideWhenUsed="0" w:uiPriority="99"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spacing w:beforeAutospacing="0" w:afterAutospacing="0" w:line="360" w:lineRule="auto"/>
      <w:ind w:firstLine="420" w:firstLineChars="200"/>
      <w:jc w:val="center"/>
    </w:pPr>
    <w:rPr>
      <w:rFonts w:hAnsi="宋体"/>
      <w:bCs/>
      <w:kern w:val="0"/>
      <w:sz w:val="24"/>
      <w:lang w:val="de-DE"/>
    </w:rPr>
  </w:style>
  <w:style w:type="paragraph" w:styleId="3">
    <w:name w:val="annotation text"/>
    <w:basedOn w:val="1"/>
    <w:semiHidden/>
    <w:unhideWhenUsed/>
    <w:qFormat/>
    <w:uiPriority w:val="99"/>
    <w:pPr>
      <w:jc w:val="left"/>
    </w:pPr>
  </w:style>
  <w:style w:type="paragraph" w:styleId="4">
    <w:name w:val="Body Text Indent"/>
    <w:basedOn w:val="1"/>
    <w:link w:val="25"/>
    <w:semiHidden/>
    <w:unhideWhenUsed/>
    <w:qFormat/>
    <w:uiPriority w:val="99"/>
    <w:pPr>
      <w:spacing w:after="120"/>
      <w:ind w:left="420" w:leftChars="200"/>
    </w:pPr>
  </w:style>
  <w:style w:type="paragraph" w:styleId="5">
    <w:name w:val="Date"/>
    <w:basedOn w:val="1"/>
    <w:next w:val="1"/>
    <w:link w:val="16"/>
    <w:qFormat/>
    <w:uiPriority w:val="99"/>
    <w:pPr>
      <w:ind w:left="100" w:leftChars="2500"/>
    </w:pPr>
  </w:style>
  <w:style w:type="paragraph" w:styleId="6">
    <w:name w:val="footer"/>
    <w:basedOn w:val="1"/>
    <w:link w:val="23"/>
    <w:unhideWhenUsed/>
    <w:qFormat/>
    <w:uiPriority w:val="99"/>
    <w:pPr>
      <w:tabs>
        <w:tab w:val="center" w:pos="4153"/>
        <w:tab w:val="right" w:pos="8306"/>
      </w:tabs>
      <w:snapToGrid w:val="0"/>
      <w:jc w:val="left"/>
    </w:pPr>
    <w:rPr>
      <w:sz w:val="18"/>
      <w:szCs w:val="18"/>
    </w:rPr>
  </w:style>
  <w:style w:type="paragraph" w:styleId="7">
    <w:name w:val="header"/>
    <w:basedOn w:val="1"/>
    <w:link w:val="22"/>
    <w:unhideWhenUsed/>
    <w:qFormat/>
    <w:uiPriority w:val="99"/>
    <w:pPr>
      <w:tabs>
        <w:tab w:val="center" w:pos="4153"/>
        <w:tab w:val="right" w:pos="8306"/>
      </w:tabs>
      <w:snapToGrid w:val="0"/>
      <w:jc w:val="center"/>
    </w:pPr>
    <w:rPr>
      <w:sz w:val="18"/>
      <w:szCs w:val="18"/>
    </w:rPr>
  </w:style>
  <w:style w:type="paragraph" w:styleId="8">
    <w:name w:val="footnote text"/>
    <w:basedOn w:val="1"/>
    <w:qFormat/>
    <w:uiPriority w:val="99"/>
    <w:pPr>
      <w:snapToGrid w:val="0"/>
      <w:jc w:val="left"/>
    </w:pPr>
    <w:rPr>
      <w:sz w:val="18"/>
    </w:rPr>
  </w:style>
  <w:style w:type="paragraph" w:styleId="9">
    <w:name w:val="Normal (Web)"/>
    <w:basedOn w:val="1"/>
    <w:qFormat/>
    <w:uiPriority w:val="99"/>
    <w:pPr>
      <w:widowControl/>
      <w:jc w:val="left"/>
    </w:pPr>
    <w:rPr>
      <w:rFonts w:ascii="宋体" w:hAnsi="宋体" w:cs="宋体"/>
      <w:kern w:val="0"/>
      <w:sz w:val="24"/>
    </w:rPr>
  </w:style>
  <w:style w:type="paragraph" w:styleId="10">
    <w:name w:val="Body Text First Indent 2"/>
    <w:basedOn w:val="4"/>
    <w:link w:val="26"/>
    <w:qFormat/>
    <w:uiPriority w:val="0"/>
    <w:pPr>
      <w:ind w:left="200" w:firstLine="200" w:firstLineChars="200"/>
    </w:pPr>
    <w:rPr>
      <w:rFonts w:eastAsia="仿宋_GB2312" w:cs="仿宋_GB2312"/>
      <w:bCs/>
      <w:kern w:val="0"/>
      <w:sz w:val="32"/>
    </w:rPr>
  </w:style>
  <w:style w:type="table" w:styleId="12">
    <w:name w:val="Table Grid"/>
    <w:basedOn w:val="11"/>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locked/>
    <w:uiPriority w:val="0"/>
    <w:rPr>
      <w:b/>
    </w:rPr>
  </w:style>
  <w:style w:type="character" w:styleId="15">
    <w:name w:val="footnote reference"/>
    <w:basedOn w:val="13"/>
    <w:qFormat/>
    <w:uiPriority w:val="99"/>
    <w:rPr>
      <w:vertAlign w:val="superscript"/>
    </w:rPr>
  </w:style>
  <w:style w:type="character" w:customStyle="1" w:styleId="16">
    <w:name w:val="日期 字符"/>
    <w:basedOn w:val="13"/>
    <w:link w:val="5"/>
    <w:semiHidden/>
    <w:qFormat/>
    <w:locked/>
    <w:uiPriority w:val="99"/>
    <w:rPr>
      <w:rFonts w:ascii="Times New Roman" w:hAnsi="Times New Roman" w:cs="Times New Roman"/>
      <w:sz w:val="24"/>
      <w:szCs w:val="24"/>
    </w:rPr>
  </w:style>
  <w:style w:type="paragraph" w:customStyle="1" w:styleId="17">
    <w:name w:val="正文（首行缩进两字）"/>
    <w:basedOn w:val="18"/>
    <w:next w:val="18"/>
    <w:qFormat/>
    <w:uiPriority w:val="99"/>
    <w:rPr>
      <w:color w:val="auto"/>
    </w:rPr>
  </w:style>
  <w:style w:type="paragraph" w:customStyle="1" w:styleId="18">
    <w:name w:val="Default"/>
    <w:qFormat/>
    <w:uiPriority w:val="99"/>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9">
    <w:name w:val="WPSOffice手动目录 1"/>
    <w:qFormat/>
    <w:uiPriority w:val="99"/>
    <w:rPr>
      <w:rFonts w:ascii="Times New Roman" w:hAnsi="Times New Roman" w:eastAsia="宋体" w:cs="Times New Roman"/>
      <w:lang w:val="en-US" w:eastAsia="zh-CN" w:bidi="ar-SA"/>
    </w:rPr>
  </w:style>
  <w:style w:type="paragraph" w:customStyle="1" w:styleId="20">
    <w:name w:val="标书正文"/>
    <w:basedOn w:val="1"/>
    <w:next w:val="1"/>
    <w:qFormat/>
    <w:uiPriority w:val="99"/>
    <w:pPr>
      <w:widowControl/>
      <w:spacing w:line="312" w:lineRule="auto"/>
      <w:ind w:firstLine="200" w:firstLineChars="200"/>
      <w:jc w:val="left"/>
    </w:pPr>
    <w:rPr>
      <w:rFonts w:ascii="Calibri" w:hAnsi="Calibri"/>
      <w:spacing w:val="2"/>
      <w:sz w:val="24"/>
    </w:rPr>
  </w:style>
  <w:style w:type="paragraph" w:customStyle="1" w:styleId="21">
    <w:name w:val="Body text|1"/>
    <w:qFormat/>
    <w:uiPriority w:val="0"/>
    <w:pPr>
      <w:widowControl w:val="0"/>
      <w:spacing w:line="480" w:lineRule="auto"/>
      <w:ind w:firstLine="400"/>
      <w:jc w:val="both"/>
    </w:pPr>
    <w:rPr>
      <w:rFonts w:ascii="宋体" w:hAnsi="宋体" w:eastAsia="宋体" w:cs="宋体"/>
      <w:color w:val="000000"/>
      <w:kern w:val="2"/>
      <w:sz w:val="26"/>
      <w:szCs w:val="26"/>
      <w:u w:color="000000"/>
      <w:lang w:val="zh-TW" w:eastAsia="zh-TW" w:bidi="ar-SA"/>
    </w:rPr>
  </w:style>
  <w:style w:type="character" w:customStyle="1" w:styleId="22">
    <w:name w:val="页眉 字符"/>
    <w:basedOn w:val="13"/>
    <w:link w:val="7"/>
    <w:qFormat/>
    <w:uiPriority w:val="99"/>
    <w:rPr>
      <w:rFonts w:ascii="Times New Roman" w:hAnsi="Times New Roman" w:cs="Times New Roman"/>
      <w:kern w:val="2"/>
      <w:sz w:val="18"/>
      <w:szCs w:val="18"/>
    </w:rPr>
  </w:style>
  <w:style w:type="character" w:customStyle="1" w:styleId="23">
    <w:name w:val="页脚 字符"/>
    <w:basedOn w:val="13"/>
    <w:link w:val="6"/>
    <w:qFormat/>
    <w:uiPriority w:val="99"/>
    <w:rPr>
      <w:rFonts w:ascii="Times New Roman" w:hAnsi="Times New Roman" w:cs="Times New Roman"/>
      <w:kern w:val="2"/>
      <w:sz w:val="18"/>
      <w:szCs w:val="18"/>
    </w:rPr>
  </w:style>
  <w:style w:type="paragraph" w:styleId="24">
    <w:name w:val="List Paragraph"/>
    <w:basedOn w:val="1"/>
    <w:unhideWhenUsed/>
    <w:qFormat/>
    <w:uiPriority w:val="99"/>
    <w:pPr>
      <w:ind w:firstLine="420" w:firstLineChars="200"/>
    </w:pPr>
  </w:style>
  <w:style w:type="character" w:customStyle="1" w:styleId="25">
    <w:name w:val="正文文本缩进 字符"/>
    <w:basedOn w:val="13"/>
    <w:link w:val="4"/>
    <w:semiHidden/>
    <w:qFormat/>
    <w:uiPriority w:val="99"/>
    <w:rPr>
      <w:rFonts w:ascii="Times New Roman" w:hAnsi="Times New Roman" w:cs="Times New Roman"/>
      <w:kern w:val="2"/>
      <w:sz w:val="21"/>
      <w:szCs w:val="24"/>
    </w:rPr>
  </w:style>
  <w:style w:type="character" w:customStyle="1" w:styleId="26">
    <w:name w:val="正文文本首行缩进 2 字符"/>
    <w:basedOn w:val="25"/>
    <w:link w:val="10"/>
    <w:qFormat/>
    <w:uiPriority w:val="0"/>
    <w:rPr>
      <w:rFonts w:ascii="Times New Roman" w:hAnsi="Times New Roman" w:eastAsia="仿宋_GB2312" w:cs="仿宋_GB2312"/>
      <w:bCs/>
      <w:kern w:val="2"/>
      <w:sz w:val="32"/>
      <w:szCs w:val="24"/>
    </w:rPr>
  </w:style>
  <w:style w:type="paragraph" w:customStyle="1" w:styleId="27">
    <w:name w:val="评价-图片样式"/>
    <w:basedOn w:val="1"/>
    <w:qFormat/>
    <w:uiPriority w:val="0"/>
    <w:pPr>
      <w:adjustRightInd w:val="0"/>
      <w:snapToGrid w:val="0"/>
      <w:spacing w:beforeLines="0" w:afterLines="0" w:line="240" w:lineRule="auto"/>
      <w:ind w:firstLine="0" w:firstLineChars="0"/>
      <w:jc w:val="center"/>
      <w:outlineLvl w:val="9"/>
    </w:pPr>
    <w:rPr>
      <w:rFonts w:ascii="黑体" w:hAnsi="黑体" w:eastAsia="宋体"/>
      <w:color w:val="000000"/>
      <w:kern w:val="0"/>
      <w:sz w:val="24"/>
      <w:szCs w:val="32"/>
    </w:rPr>
  </w:style>
  <w:style w:type="paragraph" w:customStyle="1" w:styleId="28">
    <w:name w:val="评价-表、图名样式"/>
    <w:qFormat/>
    <w:uiPriority w:val="0"/>
    <w:pPr>
      <w:keepNext w:val="0"/>
      <w:keepLines w:val="0"/>
      <w:widowControl w:val="0"/>
      <w:kinsoku w:val="0"/>
      <w:overflowPunct w:val="0"/>
      <w:autoSpaceDE/>
      <w:autoSpaceDN/>
      <w:adjustRightInd w:val="0"/>
      <w:snapToGrid w:val="0"/>
      <w:spacing w:before="50" w:beforeLines="50" w:after="50" w:afterLines="50"/>
      <w:ind w:firstLine="0" w:firstLineChars="0"/>
      <w:jc w:val="center"/>
    </w:pPr>
    <w:rPr>
      <w:rFonts w:hint="eastAsia" w:ascii="宋体" w:hAnsi="宋体" w:eastAsia="宋体" w:cs="宋体"/>
      <w:bCs/>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3731</Words>
  <Characters>3892</Characters>
  <Lines>39</Lines>
  <Paragraphs>11</Paragraphs>
  <TotalTime>1</TotalTime>
  <ScaleCrop>false</ScaleCrop>
  <LinksUpToDate>false</LinksUpToDate>
  <CharactersWithSpaces>3897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2021-11-16T17:11:00Z</dcterms:created>
  <dc:creator>csqyjglj</dc:creator>
  <cp:lastModifiedBy>世洛</cp:lastModifiedBy>
  <cp:lastPrinted>2025-12-14T18:23:00Z</cp:lastPrinted>
  <dcterms:modified xsi:type="dcterms:W3CDTF">2026-08-24T09:26:45Z</dcterms:modified>
  <dc:title>福州市仓山区依强产业园“12.27”一般生产安全责任事故调查报告</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F153DA2D532A46FE846081F1741DE6D2_13</vt:lpwstr>
  </property>
  <property fmtid="{D5CDD505-2E9C-101B-9397-08002B2CF9AE}" pid="4" name="KSOTemplateDocerSaveRecord">
    <vt:lpwstr>eyJoZGlkIjoiMjliNjBhMTMzNGQ0MmRiZTZkZjViODY2YTc3YzViNDgiLCJ1c2VySWQiOiI3NDQwODg4NjMifQ==</vt:lpwstr>
  </property>
</Properties>
</file>