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福州市仓山区国有资产租赁实施细则</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p>
    <w:p>
      <w:pPr>
        <w:spacing w:line="560" w:lineRule="exact"/>
        <w:jc w:val="center"/>
        <w:rPr>
          <w:rFonts w:hint="eastAsia" w:ascii="黑体" w:hAnsi="黑体" w:eastAsia="黑体" w:cs="黑体"/>
          <w:b/>
          <w:bCs/>
          <w:sz w:val="32"/>
          <w:szCs w:val="32"/>
        </w:rPr>
      </w:pP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第一章 总则</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第一条 </w:t>
      </w:r>
      <w:r>
        <w:rPr>
          <w:rFonts w:hint="eastAsia" w:ascii="仿宋_GB2312" w:hAnsi="仿宋_GB2312" w:eastAsia="仿宋_GB2312" w:cs="仿宋_GB2312"/>
          <w:sz w:val="32"/>
          <w:szCs w:val="32"/>
        </w:rPr>
        <w:t>为进一步规范和加强仓山区国有资产的租赁行为(以下简称“租赁行为”),提高国有资产运营效益，确保国有资产的保值增值，根据《中华人民共和国企业国有资产法》《行政单位国有资产管理暂行办法》(财政部令第35号)《事业单位国有资产管理暂行办法》(财政部令第36号)等法律法规和《福建省人民政府国有资产监督管理委员</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所出资企业资产租赁和经营业务承包管理工作指引》《福州市市属国有企业资产租赁管理办法》《福州市仓山区行政单位国有资产管理暂行办法》《福州市仓山区事业单位国有资产管理暂行办法》等文件精神，结合我区各单位国有资产实际情况，制定本细则。</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本细则适用于我区具有法人资格的行政事业单位(以下简称“行政事业单位”)、福州市仓山区国有资产服务中心（以下简称“区国资中心”）根据区人民政府授权，依法履行出资人职责的国有企业及其所属各级</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国有</w:t>
      </w:r>
      <w:r>
        <w:rPr>
          <w:rFonts w:hint="eastAsia" w:ascii="仿宋_GB2312" w:hAnsi="仿宋_GB2312" w:eastAsia="仿宋_GB2312" w:cs="仿宋_GB2312"/>
          <w:sz w:val="32"/>
          <w:szCs w:val="32"/>
          <w:lang w:val="en-US" w:eastAsia="zh-CN"/>
        </w:rPr>
        <w:t>控股、国有实际控制的权属</w:t>
      </w:r>
      <w:r>
        <w:rPr>
          <w:rFonts w:hint="eastAsia" w:ascii="仿宋_GB2312" w:hAnsi="仿宋_GB2312" w:eastAsia="仿宋_GB2312" w:cs="仿宋_GB2312"/>
          <w:sz w:val="32"/>
          <w:szCs w:val="32"/>
        </w:rPr>
        <w:t>企业(以下简称“区属国企”)。由区国资中心所监管的集团公司，称为“产业集团”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区征收公司参照产业集团管理。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本细则所称资产租赁是指行政事业单位、区属国企作为出租方(以下简称“出租方”),将自身拥有的非流动性资产(包括土地、房产、仓库、设备、广告位等),租赁给自然人、法人或其它组织(以下简称“承租方”),并向承租方收取租金的经营行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出租方的租赁行为应当遵循公开、公平、公正、诚信的原则，按照本细则开展租赁，加强自律管理，保证租赁 有序进行。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区属企业自营的专业市场、大型城市商业综合体、大型产业园区、物流园区等对业态有统一设计和规划的资产，按照“公开、公平、公正”的原则，根据有关政府政策、市场规律、行业发展特点，参照本细则制定针对性的招商经营方案、定价原则，经内部决策</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报区政府批准后施行。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租赁标的物应权属清晰，不存在法律纠纷。已列入拆迁、重组、清算和破产计划等处于待处理状态的国有资产，所属单位以及</w:t>
      </w:r>
      <w:r>
        <w:rPr>
          <w:rFonts w:hint="eastAsia" w:ascii="仿宋_GB2312" w:hAnsi="仿宋_GB2312" w:eastAsia="仿宋_GB2312" w:cs="仿宋_GB2312"/>
          <w:sz w:val="32"/>
          <w:szCs w:val="32"/>
          <w:lang w:val="en-US" w:eastAsia="zh-CN"/>
        </w:rPr>
        <w:t>上级单位</w:t>
      </w:r>
      <w:r>
        <w:rPr>
          <w:rFonts w:hint="eastAsia" w:ascii="仿宋_GB2312" w:hAnsi="仿宋_GB2312" w:eastAsia="仿宋_GB2312" w:cs="仿宋_GB2312"/>
          <w:sz w:val="32"/>
          <w:szCs w:val="32"/>
        </w:rPr>
        <w:t>对租赁标的物已有明确处置意见的，原则上不实施租赁行为。确需租赁的，必须与承租方特别约定相关事项的处理方式。因历史遗留等原因未办理产权证的国有资产，所属单位应明确资产状况、实物现状、</w:t>
      </w:r>
      <w:r>
        <w:rPr>
          <w:rFonts w:hint="eastAsia" w:ascii="仿宋_GB2312" w:hAnsi="仿宋_GB2312" w:eastAsia="仿宋_GB2312" w:cs="仿宋_GB2312"/>
          <w:sz w:val="32"/>
          <w:szCs w:val="32"/>
          <w:lang w:val="en-US" w:eastAsia="zh-CN"/>
        </w:rPr>
        <w:t>权利来源依据</w:t>
      </w:r>
      <w:r>
        <w:rPr>
          <w:rFonts w:hint="eastAsia" w:ascii="仿宋_GB2312" w:hAnsi="仿宋_GB2312" w:eastAsia="仿宋_GB2312" w:cs="仿宋_GB2312"/>
          <w:sz w:val="32"/>
          <w:szCs w:val="32"/>
        </w:rPr>
        <w:t>，并向承租方出具权属证明。</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二</w:t>
      </w:r>
      <w:r>
        <w:rPr>
          <w:rFonts w:hint="eastAsia" w:ascii="黑体" w:hAnsi="黑体" w:eastAsia="黑体" w:cs="黑体"/>
          <w:b/>
          <w:bCs/>
          <w:sz w:val="32"/>
          <w:szCs w:val="32"/>
        </w:rPr>
        <w:t>章 资产租赁行为决策</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出租方拟将自身拥有的国有资产对外出租的，应当制订租赁方案，租赁方案应包括但不限于：</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（一）租赁标的物的产权状况、实物现状、资产明细清单；</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（二）租赁的目的及可行性、租赁期限、租赁用途(明确允许或限制经管范围);</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（三）租赁底价及确定依据、租金缴纳、租金递增率、竞价方式等；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承租方资格条件</w:t>
      </w:r>
      <w:r>
        <w:rPr>
          <w:rFonts w:hint="eastAsia" w:ascii="仿宋_GB2312" w:hAnsi="仿宋_GB2312" w:eastAsia="仿宋_GB2312" w:cs="仿宋_GB2312"/>
          <w:sz w:val="32"/>
          <w:szCs w:val="32"/>
        </w:rPr>
        <w:t>、承租条件、优先权情况、风险揭示、租赁合同范本以及其他特别约定条款。</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资产租赁方案应书面提交本单位或本企业</w:t>
      </w:r>
      <w:r>
        <w:rPr>
          <w:rFonts w:hint="eastAsia" w:ascii="仿宋_GB2312" w:hAnsi="仿宋_GB2312" w:eastAsia="仿宋_GB2312" w:cs="仿宋_GB2312"/>
          <w:sz w:val="32"/>
          <w:szCs w:val="32"/>
          <w:lang w:val="en-US" w:eastAsia="zh-CN"/>
        </w:rPr>
        <w:t>董事会或总经理办公会</w:t>
      </w:r>
      <w:r>
        <w:rPr>
          <w:rFonts w:hint="eastAsia" w:ascii="仿宋_GB2312" w:hAnsi="仿宋_GB2312" w:eastAsia="仿宋_GB2312" w:cs="仿宋_GB2312"/>
          <w:sz w:val="32"/>
          <w:szCs w:val="32"/>
        </w:rPr>
        <w:t>集体研究审议，形成书面决议或会议纪要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租金达到“三重一大”标准时，应严格履行党组织前置研究程序。资产租赁方案审核批准后，应在本单位或本企业公示，公示期不少于5个工作日。</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章 资产租赁期限及底价</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行政事业单位租赁行为由</w:t>
      </w:r>
      <w:r>
        <w:rPr>
          <w:rFonts w:hint="eastAsia" w:ascii="仿宋_GB2312" w:hAnsi="仿宋_GB2312" w:eastAsia="仿宋_GB2312" w:cs="仿宋_GB2312"/>
          <w:sz w:val="32"/>
          <w:szCs w:val="32"/>
          <w:lang w:val="en-US" w:eastAsia="zh-CN"/>
        </w:rPr>
        <w:t>区直主管部门</w:t>
      </w:r>
      <w:r>
        <w:rPr>
          <w:rFonts w:hint="eastAsia" w:ascii="仿宋_GB2312" w:hAnsi="仿宋_GB2312" w:eastAsia="仿宋_GB2312" w:cs="仿宋_GB2312"/>
          <w:sz w:val="32"/>
          <w:szCs w:val="32"/>
        </w:rPr>
        <w:t>审批执行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一级预算单位自行审批，二级预算单位报一级预算单位审批，以此类推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行政事业单位国有资产出租的期限最高不得超过10年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确需超过10年的，应当报区政府研究同意</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区属国有企业资产出租的期限一般为5年(含)以内，由企业自行研究决定；确有需要超过5年的，应综合考虑装修投入、租赁物用途等因素，原则上不超过12年。其中：出租方是</w:t>
      </w:r>
      <w:r>
        <w:rPr>
          <w:rFonts w:hint="eastAsia" w:ascii="仿宋_GB2312" w:hAnsi="仿宋_GB2312" w:eastAsia="仿宋_GB2312" w:cs="仿宋_GB2312"/>
          <w:sz w:val="32"/>
          <w:szCs w:val="32"/>
          <w:lang w:val="en-US" w:eastAsia="zh-CN"/>
        </w:rPr>
        <w:t>产业集团</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由企业董事会或总经理办公会集体研究决定；出租方是产业集团下属企业的，须事先报产业集团作出决定。确需超过12年的，应当报区政府研究同意。</w:t>
      </w:r>
    </w:p>
    <w:p>
      <w:pPr>
        <w:numPr>
          <w:ilvl w:val="0"/>
          <w:numId w:val="0"/>
        </w:numPr>
        <w:spacing w:line="560" w:lineRule="exact"/>
        <w:ind w:firstLine="643"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行政事业单位经营性资产原则上委托</w:t>
      </w:r>
      <w:r>
        <w:rPr>
          <w:rFonts w:hint="eastAsia" w:ascii="仿宋_GB2312" w:hAnsi="仿宋_GB2312" w:eastAsia="仿宋_GB2312" w:cs="仿宋_GB2312"/>
          <w:sz w:val="32"/>
          <w:szCs w:val="32"/>
          <w:lang w:val="en-US" w:eastAsia="zh-CN"/>
        </w:rPr>
        <w:t>福州仓山国有资产营运有限公司（以下简称“区</w:t>
      </w:r>
      <w:r>
        <w:rPr>
          <w:rFonts w:hint="eastAsia" w:ascii="仿宋_GB2312" w:hAnsi="仿宋_GB2312" w:eastAsia="仿宋_GB2312" w:cs="仿宋_GB2312"/>
          <w:sz w:val="32"/>
          <w:szCs w:val="32"/>
        </w:rPr>
        <w:t>国资公司</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运营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通过委托</w:t>
      </w:r>
      <w:r>
        <w:rPr>
          <w:rFonts w:hint="eastAsia" w:ascii="仿宋_GB2312" w:hAnsi="仿宋_GB2312" w:eastAsia="仿宋_GB2312" w:cs="仿宋_GB2312"/>
          <w:sz w:val="32"/>
          <w:szCs w:val="32"/>
          <w:lang w:val="en-US" w:eastAsia="zh-CN"/>
        </w:rPr>
        <w:t>区属国企</w:t>
      </w:r>
      <w:r>
        <w:rPr>
          <w:rFonts w:hint="eastAsia" w:ascii="仿宋_GB2312" w:hAnsi="仿宋_GB2312" w:eastAsia="仿宋_GB2312" w:cs="仿宋_GB2312"/>
          <w:sz w:val="32"/>
          <w:szCs w:val="32"/>
        </w:rPr>
        <w:t>运营的资产，按照行政事业单位资产管理；通过经营权转让至区属国企的资产，参照区属国有企业资产管理。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color w:val="auto"/>
          <w:sz w:val="32"/>
          <w:szCs w:val="32"/>
          <w:u w:val="none"/>
        </w:rPr>
        <w:t>出租方在</w:t>
      </w:r>
      <w:r>
        <w:rPr>
          <w:rFonts w:hint="eastAsia" w:ascii="仿宋_GB2312" w:hAnsi="仿宋_GB2312" w:eastAsia="仿宋_GB2312" w:cs="仿宋_GB2312"/>
          <w:sz w:val="32"/>
          <w:szCs w:val="32"/>
        </w:rPr>
        <w:t>制定招租底价时，应事先进行充分的市场调查，根据市场询价及供求情况等因素综合确定。租赁底价一般采取资产评估、</w:t>
      </w:r>
      <w:r>
        <w:rPr>
          <w:rFonts w:hint="eastAsia" w:ascii="仿宋_GB2312" w:hAnsi="仿宋_GB2312" w:eastAsia="仿宋_GB2312" w:cs="仿宋_GB2312"/>
          <w:sz w:val="32"/>
          <w:szCs w:val="32"/>
          <w:lang w:val="en-US" w:eastAsia="zh-CN"/>
        </w:rPr>
        <w:t>市场比较方式</w:t>
      </w:r>
      <w:r>
        <w:rPr>
          <w:rFonts w:hint="eastAsia" w:ascii="仿宋_GB2312" w:hAnsi="仿宋_GB2312" w:eastAsia="仿宋_GB2312" w:cs="仿宋_GB2312"/>
          <w:sz w:val="32"/>
          <w:szCs w:val="32"/>
        </w:rPr>
        <w:t>、市场调查分析、参考有关部门公布的租金指导价</w:t>
      </w:r>
      <w:r>
        <w:rPr>
          <w:rFonts w:hint="eastAsia" w:ascii="仿宋_GB2312" w:hAnsi="仿宋_GB2312" w:eastAsia="仿宋_GB2312" w:cs="仿宋_GB2312"/>
          <w:sz w:val="32"/>
          <w:szCs w:val="32"/>
          <w:lang w:val="en-US" w:eastAsia="zh-CN"/>
        </w:rPr>
        <w:t>等方式</w:t>
      </w:r>
      <w:r>
        <w:rPr>
          <w:rFonts w:hint="eastAsia" w:ascii="仿宋_GB2312" w:hAnsi="仿宋_GB2312" w:eastAsia="仿宋_GB2312" w:cs="仿宋_GB2312"/>
          <w:sz w:val="32"/>
          <w:szCs w:val="32"/>
        </w:rPr>
        <w:t>确定。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新的</w:t>
      </w:r>
      <w:r>
        <w:rPr>
          <w:rFonts w:hint="eastAsia" w:ascii="仿宋_GB2312" w:hAnsi="仿宋_GB2312" w:eastAsia="仿宋_GB2312" w:cs="仿宋_GB2312"/>
          <w:sz w:val="32"/>
          <w:szCs w:val="32"/>
        </w:rPr>
        <w:t>租赁</w:t>
      </w:r>
      <w:r>
        <w:rPr>
          <w:rFonts w:hint="eastAsia" w:ascii="仿宋_GB2312" w:hAnsi="仿宋_GB2312" w:eastAsia="仿宋_GB2312" w:cs="仿宋_GB2312"/>
          <w:sz w:val="32"/>
          <w:szCs w:val="32"/>
          <w:lang w:val="en-US" w:eastAsia="zh-CN"/>
        </w:rPr>
        <w:t>底价</w:t>
      </w:r>
      <w:r>
        <w:rPr>
          <w:rFonts w:hint="eastAsia" w:ascii="仿宋_GB2312" w:hAnsi="仿宋_GB2312" w:eastAsia="仿宋_GB2312" w:cs="仿宋_GB2312"/>
          <w:sz w:val="32"/>
          <w:szCs w:val="32"/>
        </w:rPr>
        <w:t>低于</w:t>
      </w:r>
      <w:r>
        <w:rPr>
          <w:rFonts w:hint="eastAsia" w:ascii="仿宋_GB2312" w:hAnsi="仿宋_GB2312" w:eastAsia="仿宋_GB2312" w:cs="仿宋_GB2312"/>
          <w:sz w:val="32"/>
          <w:szCs w:val="32"/>
          <w:lang w:val="en-US" w:eastAsia="zh-CN"/>
        </w:rPr>
        <w:t>原租赁底价</w:t>
      </w:r>
      <w:r>
        <w:rPr>
          <w:rFonts w:hint="eastAsia" w:ascii="仿宋_GB2312" w:hAnsi="仿宋_GB2312" w:eastAsia="仿宋_GB2312" w:cs="仿宋_GB2312"/>
          <w:sz w:val="32"/>
          <w:szCs w:val="32"/>
        </w:rPr>
        <w:t>的90%</w:t>
      </w:r>
      <w:r>
        <w:rPr>
          <w:rFonts w:hint="eastAsia"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rPr>
        <w:t>,出租方应报</w:t>
      </w:r>
      <w:r>
        <w:rPr>
          <w:rFonts w:hint="eastAsia" w:ascii="仿宋_GB2312" w:hAnsi="仿宋_GB2312" w:eastAsia="仿宋_GB2312" w:cs="仿宋_GB2312"/>
          <w:sz w:val="32"/>
          <w:szCs w:val="32"/>
          <w:lang w:val="en-US" w:eastAsia="zh-CN"/>
        </w:rPr>
        <w:t>区直主管部门</w:t>
      </w:r>
      <w:r>
        <w:rPr>
          <w:rFonts w:hint="eastAsia" w:ascii="仿宋_GB2312" w:hAnsi="仿宋_GB2312" w:eastAsia="仿宋_GB2312" w:cs="仿宋_GB2312"/>
          <w:sz w:val="32"/>
          <w:szCs w:val="32"/>
        </w:rPr>
        <w:t>或产业集团审批。若多次降价仍未征集到意向承租方，应当综合分析原因采取放宽条件、资产再优化等方式重新公开招租，或采取市场化手段招租、资产置换等方式盘活资产，其解决方案报</w:t>
      </w:r>
      <w:r>
        <w:rPr>
          <w:rFonts w:hint="eastAsia" w:ascii="仿宋_GB2312" w:hAnsi="仿宋_GB2312" w:eastAsia="仿宋_GB2312" w:cs="仿宋_GB2312"/>
          <w:sz w:val="32"/>
          <w:szCs w:val="32"/>
          <w:lang w:val="en-US" w:eastAsia="zh-CN"/>
        </w:rPr>
        <w:t>区直主管单位</w:t>
      </w:r>
      <w:r>
        <w:rPr>
          <w:rFonts w:hint="eastAsia" w:ascii="仿宋_GB2312" w:hAnsi="仿宋_GB2312" w:eastAsia="仿宋_GB2312" w:cs="仿宋_GB2312"/>
          <w:sz w:val="32"/>
          <w:szCs w:val="32"/>
        </w:rPr>
        <w:t>或产业集团审定。</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采取资产评估方法确定</w:t>
      </w:r>
      <w:r>
        <w:rPr>
          <w:rFonts w:hint="eastAsia" w:ascii="仿宋_GB2312" w:hAnsi="仿宋_GB2312" w:eastAsia="仿宋_GB2312" w:cs="仿宋_GB2312"/>
          <w:sz w:val="32"/>
          <w:szCs w:val="32"/>
          <w:lang w:val="en-US" w:eastAsia="zh-CN"/>
        </w:rPr>
        <w:t>租赁底价的</w:t>
      </w:r>
      <w:r>
        <w:rPr>
          <w:rFonts w:hint="eastAsia" w:ascii="仿宋_GB2312" w:hAnsi="仿宋_GB2312" w:eastAsia="仿宋_GB2312" w:cs="仿宋_GB2312"/>
          <w:sz w:val="32"/>
          <w:szCs w:val="32"/>
        </w:rPr>
        <w:t>，应委托依法设立的具有资产评估资质的评估机构进行评估、且该评估机构在近三年行业诚信档案中无不良执业记录。</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采取市场比较方式确定租赁底价的，可选择以下其中一种方式确定租赁底价：</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（一）选择三家及以上中介机构进行询价；</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（二）选择租赁标的物周边相同地段，类似功能、用途参照物的市场租赁价格作为确定租赁底价的主要参考依据。</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采用市场调查分析方法确定租赁底价的，应参考以下因素：</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租赁底价主要根据市场价格、供需情况、资产的实际状况、资产的价值补偿、产业培育和功能布局安排等因素综合确定。涉及土地使用权、不动产的，应以周边相同地段，类似功能、用途参照物的市场租赁价格作为确定租赁底价的主要参考依据，涉及设备的，应以同类设备的市场租赁价格作为确定租赁底价的主要参考依据。</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十五</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资产年租金在10万及以上的单宗资产出租，采取资产评估方法确定租赁底价。</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章 资产租赁灵活调整</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国有资产灵活调整租赁适用对象和方式如下：</w:t>
      </w:r>
    </w:p>
    <w:p>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承租户租满1年且履约良好、无欠租及违规行为，</w:t>
      </w:r>
      <w:r>
        <w:rPr>
          <w:rFonts w:hint="eastAsia" w:ascii="仿宋_GB2312" w:hAnsi="仿宋_GB2312" w:eastAsia="仿宋_GB2312" w:cs="仿宋_GB2312"/>
          <w:sz w:val="32"/>
          <w:szCs w:val="32"/>
          <w:lang w:val="en-US" w:eastAsia="zh-CN"/>
        </w:rPr>
        <w:t>在合同期内仅能</w:t>
      </w:r>
      <w:r>
        <w:rPr>
          <w:rFonts w:hint="eastAsia" w:ascii="仿宋_GB2312" w:hAnsi="仿宋_GB2312" w:eastAsia="仿宋_GB2312" w:cs="仿宋_GB2312"/>
          <w:sz w:val="32"/>
          <w:szCs w:val="32"/>
        </w:rPr>
        <w:t>书面申请调租</w:t>
      </w:r>
      <w:r>
        <w:rPr>
          <w:rFonts w:hint="eastAsia" w:ascii="仿宋_GB2312" w:hAnsi="仿宋_GB2312" w:eastAsia="仿宋_GB2312" w:cs="仿宋_GB2312"/>
          <w:sz w:val="32"/>
          <w:szCs w:val="32"/>
          <w:lang w:val="en-US" w:eastAsia="zh-CN"/>
        </w:rPr>
        <w:t>1次</w:t>
      </w:r>
      <w:r>
        <w:rPr>
          <w:rFonts w:hint="eastAsia" w:ascii="仿宋_GB2312" w:hAnsi="仿宋_GB2312" w:eastAsia="仿宋_GB2312" w:cs="仿宋_GB2312"/>
          <w:sz w:val="32"/>
          <w:szCs w:val="32"/>
        </w:rPr>
        <w:t>，并承诺同意通过区国资公司“榕易租”平台网站（以下简称“榕易租平台”）重新公开竞价。出租方经审核后委托第三方评估机构确定竞价底价，原租户享有同等条件下优先承租权。若原租户竞得，以竞得价作为新租金标准并续签合同；若第三方竞得，原租赁合同提前解除，出租方豁免其违约责任、全额退还履约保证金。原租户在约定期限内清场搬离并放弃装修及经营损失索赔。</w:t>
      </w:r>
      <w:r>
        <w:rPr>
          <w:rFonts w:hint="eastAsia" w:ascii="仿宋_GB2312" w:hAnsi="仿宋_GB2312" w:eastAsia="仿宋_GB2312" w:cs="仿宋_GB2312"/>
          <w:sz w:val="32"/>
          <w:szCs w:val="32"/>
          <w:lang w:val="en-US" w:eastAsia="zh-CN"/>
        </w:rPr>
        <w:t>若经公开竞价无人竞得该标的物，则原出租方与原租户继续按照原租赁合同履行。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原则上，出租方需在收到承租商户书面调租申请后30日</w:t>
      </w:r>
      <w:r>
        <w:rPr>
          <w:rFonts w:hint="eastAsia" w:ascii="仿宋_GB2312" w:hAnsi="仿宋_GB2312" w:eastAsia="仿宋_GB2312" w:cs="仿宋_GB2312"/>
          <w:sz w:val="32"/>
          <w:szCs w:val="32"/>
          <w:lang w:val="en-US" w:eastAsia="zh-CN"/>
        </w:rPr>
        <w:t>内</w:t>
      </w:r>
      <w:r>
        <w:rPr>
          <w:rFonts w:hint="eastAsia" w:ascii="仿宋_GB2312" w:hAnsi="仿宋_GB2312" w:eastAsia="仿宋_GB2312" w:cs="仿宋_GB2312"/>
          <w:sz w:val="32"/>
          <w:szCs w:val="32"/>
        </w:rPr>
        <w:t>研判，并答复是否符合办理条件。</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五</w:t>
      </w:r>
      <w:r>
        <w:rPr>
          <w:rFonts w:hint="eastAsia" w:ascii="黑体" w:hAnsi="黑体" w:eastAsia="黑体" w:cs="黑体"/>
          <w:b/>
          <w:bCs/>
          <w:sz w:val="32"/>
          <w:szCs w:val="32"/>
        </w:rPr>
        <w:t>章 资产租赁交易流程</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国有资产租赁应当通过公开招租方式确定承租方，应通过“榕易租平台”、区政府网站、企业信息公开栏、拟出租资产现场等对外公开披露租赁信息，并鼓励在当地网站和报纸等媒体发布信息，广泛征集承租方。</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lang w:val="en-US" w:eastAsia="zh-CN"/>
        </w:rPr>
        <w:t>除协议方式招租外，国有资产租赁应通过“榕易租平台”进行公开招</w:t>
      </w:r>
      <w:r>
        <w:rPr>
          <w:rFonts w:hint="eastAsia" w:ascii="仿宋_GB2312" w:hAnsi="仿宋_GB2312" w:eastAsia="仿宋_GB2312" w:cs="仿宋_GB2312"/>
          <w:sz w:val="32"/>
          <w:szCs w:val="32"/>
        </w:rPr>
        <w:t>租。</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第二十条 </w:t>
      </w:r>
      <w:r>
        <w:rPr>
          <w:rFonts w:hint="eastAsia" w:ascii="仿宋_GB2312" w:hAnsi="仿宋_GB2312" w:eastAsia="仿宋_GB2312" w:cs="仿宋_GB2312"/>
          <w:sz w:val="32"/>
          <w:szCs w:val="32"/>
        </w:rPr>
        <w:t>资产租赁项目首次信息披露时间不少于15个工作日。信息披露期满未征集到意向承租方，且不变更信息公告内容的，可以适当延长信息公开期限，每次延长期限应当不少于5个工作日。降低租赁底价或变更承租条件后重新披露信息的，披露时间不得少于5个工作日。</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招租结果应在“榕易租平台”公示，公示内容应包括资产名称、承租方简况、租赁价格、租赁期限、租赁合同样本、监督电话等。公示时间不少于5个工作日，租赁合同应在结果公示结束无异议次日起5个工作日内签订。</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租赁项目首次信息披露的租赁底价，不得低于租赁方案中确定的底价。若公开招租未征集到意向承租方，可按本实施细则第</w:t>
      </w: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条规定执行。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下列情形之一的，在符合法律法规前提下，经区政府批准后，可采取协议方式租赁：</w:t>
      </w:r>
    </w:p>
    <w:p>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对于具有带动仓山区域发展、产业发展、提升城市品牌影响力等作用的战略性项目</w:t>
      </w:r>
      <w:r>
        <w:rPr>
          <w:rFonts w:hint="eastAsia" w:eastAsia="仿宋_GB2312"/>
        </w:rPr>
        <w:t>；</w:t>
      </w:r>
    </w:p>
    <w:p>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属于区政府特定用途或招商项目的租赁资产；</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）其他区政府批准的情形。</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下列情形之一的，经决策后报</w:t>
      </w:r>
      <w:r>
        <w:rPr>
          <w:rFonts w:hint="eastAsia" w:ascii="仿宋_GB2312" w:hAnsi="仿宋_GB2312" w:eastAsia="仿宋_GB2312" w:cs="仿宋_GB2312"/>
          <w:sz w:val="32"/>
          <w:szCs w:val="32"/>
          <w:lang w:val="en-US" w:eastAsia="zh-CN"/>
        </w:rPr>
        <w:t>行政事业单位区直主管部门</w:t>
      </w:r>
      <w:r>
        <w:rPr>
          <w:rFonts w:hint="eastAsia" w:ascii="仿宋_GB2312" w:hAnsi="仿宋_GB2312" w:eastAsia="仿宋_GB2312" w:cs="仿宋_GB2312"/>
          <w:sz w:val="32"/>
          <w:szCs w:val="32"/>
        </w:rPr>
        <w:t>或产业集团审批，可采取协议方式租赁：</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（一）行政事业单位之间的资产出租，以及涉及公共安全、文物保护、对内服务保障等特殊要求的资产出租事项。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（二）区属国有及国有控股、国有实际控制企业之间的租赁行为。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）根据征收公告面临拆迁，以及其他不超过90日的临时资产租赁行为(不存在延期及连续短期出租情况)。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）专有用途以及其他不符合市场化配置条件的资产，如安置房、参照公租房管理的资产、</w:t>
      </w:r>
      <w:r>
        <w:rPr>
          <w:rFonts w:hint="eastAsia" w:ascii="仿宋_GB2312" w:hAnsi="仿宋_GB2312" w:eastAsia="仿宋_GB2312" w:cs="仿宋_GB2312"/>
          <w:sz w:val="32"/>
          <w:szCs w:val="32"/>
          <w:lang w:val="en-US" w:eastAsia="zh-CN"/>
        </w:rPr>
        <w:t>零星小区配套车位</w:t>
      </w:r>
      <w:r>
        <w:rPr>
          <w:rFonts w:hint="eastAsia" w:ascii="仿宋_GB2312" w:hAnsi="仿宋_GB2312" w:eastAsia="仿宋_GB2312" w:cs="仿宋_GB2312"/>
          <w:sz w:val="32"/>
          <w:szCs w:val="32"/>
        </w:rPr>
        <w:t>等情况的租赁行为。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出租方采取上述协议招租方式确定的资产租赁行为，仅限于协议承租方自用，不得转租，租赁底价不得低于周边同类租赁物租金或评估价。</w:t>
      </w:r>
    </w:p>
    <w:p>
      <w:pPr>
        <w:spacing w:line="560" w:lineRule="exact"/>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区属国企住房提供给</w:t>
      </w:r>
      <w:r>
        <w:rPr>
          <w:rFonts w:hint="eastAsia" w:ascii="仿宋_GB2312" w:hAnsi="仿宋_GB2312" w:eastAsia="仿宋_GB2312" w:cs="仿宋_GB2312"/>
          <w:sz w:val="32"/>
          <w:szCs w:val="32"/>
          <w:lang w:val="en-US" w:eastAsia="zh-CN"/>
        </w:rPr>
        <w:t>区属国企</w:t>
      </w:r>
      <w:r>
        <w:rPr>
          <w:rFonts w:hint="eastAsia" w:ascii="仿宋_GB2312" w:hAnsi="仿宋_GB2312" w:eastAsia="仿宋_GB2312" w:cs="仿宋_GB2312"/>
          <w:sz w:val="32"/>
          <w:szCs w:val="32"/>
        </w:rPr>
        <w:t>职工</w:t>
      </w:r>
      <w:r>
        <w:rPr>
          <w:rFonts w:hint="eastAsia" w:ascii="仿宋_GB2312" w:hAnsi="仿宋_GB2312" w:eastAsia="仿宋_GB2312" w:cs="仿宋_GB2312"/>
          <w:sz w:val="32"/>
          <w:szCs w:val="32"/>
          <w:lang w:val="en-US" w:eastAsia="zh-CN"/>
        </w:rPr>
        <w:t>可由企业自行决定。</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二十六</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出租方应在租赁到期前3个月，做好下一轮租赁准备工作；确保租赁工作持续有序进行，防止国有资产闲置和流失。</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六</w:t>
      </w:r>
      <w:r>
        <w:rPr>
          <w:rFonts w:hint="eastAsia" w:ascii="黑体" w:hAnsi="黑体" w:eastAsia="黑体" w:cs="黑体"/>
          <w:b/>
          <w:bCs/>
          <w:sz w:val="32"/>
          <w:szCs w:val="32"/>
        </w:rPr>
        <w:t>章 资产租赁收入管理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二十七</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资产管理单位应建立收入台账，明确各项收入的入账时间，及时核算并更新信息。</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区直行政事业单位取得的国有资产收入，属于政府非税收入，应当按照政府非税收入和国库集中收缴制度的有关规定管理，在扣除相关税费后及时上缴国库，实行“收支两条线”管理，严禁形成“账外账”和小金库。</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七</w:t>
      </w:r>
      <w:r>
        <w:rPr>
          <w:rFonts w:hint="eastAsia" w:ascii="黑体" w:hAnsi="黑体" w:eastAsia="黑体" w:cs="黑体"/>
          <w:b/>
          <w:bCs/>
          <w:sz w:val="32"/>
          <w:szCs w:val="32"/>
        </w:rPr>
        <w:t>章 合同管理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出租国有资产时，应依照相关法律法规制定规范的资产租赁合同，并按照已披露的租赁合同，与承租方签订租赁合同。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租赁合同主要内容应当包括但不限于以下内容：标的情况、租赁用途、租赁期限、租金标准及递增率、租金收取时间与方式、拖欠租金的防范措施、房屋修缮及养护责任、双方权利与义务、合同变更、解除及合同纠纷的处理办法和违约责任条款等。</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合同中应载明合同终止情形及免责条款，如市政建设需要搬迁、土地被收储、企业改制以及因法律、法规、政策调整或不可抗力致使租赁合同不能继续履行等情形，出租方有权解除合同并予以免责。</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租赁合同应当特别载明承租方有下列情形之一的，出租方有权单方面行使解除权和追偿权：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(一)不按合同约定支付租金或确实无力履行合同；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(二)承租方擅自搭建、拆改结构或改变承租用途；</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(三)承租方擅自转租；</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(四)承租方利用租赁标的物进行违法活动；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(五)承租方故意损坏租赁标的物；</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(六)其他严重违反租赁合同约定的情形。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如承租方擅自搭建、拆改结构或改变承租用途，出租方应向承租方追索责任包括但不限于要求恢复原状、没收履约保证金(押金)等。出租方也可自行委托第三方进行评估整改，整改费用由承租方承担。</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合同一旦签订生效，出租方、承租方都应严格履行，原则上不允许变更。承租方不履行或者不完全履行租赁合同时，出租方应该按照合同的约定，及时采取措施，保证租赁合同的正常履行。一旦合同中载明的合同终止情形出现，合同应及时终止。</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确因特殊情况需要变更租赁合同的，出租方根据实际情况审定，报</w:t>
      </w:r>
      <w:r>
        <w:rPr>
          <w:rFonts w:hint="eastAsia" w:ascii="仿宋_GB2312" w:hAnsi="仿宋_GB2312" w:eastAsia="仿宋_GB2312" w:cs="仿宋_GB2312"/>
          <w:sz w:val="32"/>
          <w:szCs w:val="32"/>
          <w:lang w:val="en-US" w:eastAsia="zh-CN"/>
        </w:rPr>
        <w:t>行政事业单位区直主管部门</w:t>
      </w:r>
      <w:r>
        <w:rPr>
          <w:rFonts w:hint="eastAsia" w:ascii="仿宋_GB2312" w:hAnsi="仿宋_GB2312" w:eastAsia="仿宋_GB2312" w:cs="仿宋_GB2312"/>
          <w:sz w:val="32"/>
          <w:szCs w:val="32"/>
        </w:rPr>
        <w:t>或产业集团批准。变更内容涉及租金、租赁期限等核心条款的，出租方应当解除合同，重新组织公开招租。</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出租资产合同必须以具有法人资格的单位或企业的名义出租，不得以个人名义出租国有资产。</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出租资产期满收回时，资产管理单位应组织相关人员按租赁合同条款进行检查，并按合同办理退还押金等相关手续。</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应做好租赁项目档案管理，将租赁方案及其审议审批、评估报告及其备案情况、承租方选择文件(竞价文件)、租赁合同文本等相关资料按项目单独立卷，集中管理。租金收入纳入应统一纳入会计核算财务管理。</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八</w:t>
      </w:r>
      <w:r>
        <w:rPr>
          <w:rFonts w:hint="eastAsia" w:ascii="黑体" w:hAnsi="黑体" w:eastAsia="黑体" w:cs="黑体"/>
          <w:b/>
          <w:bCs/>
          <w:sz w:val="32"/>
          <w:szCs w:val="32"/>
        </w:rPr>
        <w:t>章 监督管理</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lang w:val="en-US" w:eastAsia="zh-CN"/>
        </w:rPr>
        <w:t>各行政事业单位、国有企业</w:t>
      </w:r>
      <w:r>
        <w:rPr>
          <w:rFonts w:hint="eastAsia" w:ascii="仿宋_GB2312" w:hAnsi="仿宋_GB2312" w:eastAsia="仿宋_GB2312" w:cs="仿宋_GB2312"/>
          <w:sz w:val="32"/>
          <w:szCs w:val="32"/>
        </w:rPr>
        <w:t>要切实承担起资产管理的主体责任，强化对不动产管理的责任担当意识，切实加强组织领导，抓好具体管理。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区国资中心或</w:t>
      </w:r>
      <w:r>
        <w:rPr>
          <w:rFonts w:hint="eastAsia" w:ascii="仿宋_GB2312" w:hAnsi="仿宋_GB2312" w:eastAsia="仿宋_GB2312" w:cs="仿宋_GB2312"/>
          <w:sz w:val="32"/>
          <w:szCs w:val="32"/>
          <w:lang w:val="en-US" w:eastAsia="zh-CN"/>
        </w:rPr>
        <w:t>各区直</w:t>
      </w:r>
      <w:r>
        <w:rPr>
          <w:rFonts w:hint="eastAsia" w:ascii="仿宋_GB2312" w:hAnsi="仿宋_GB2312" w:eastAsia="仿宋_GB2312" w:cs="仿宋_GB2312"/>
          <w:sz w:val="32"/>
          <w:szCs w:val="32"/>
        </w:rPr>
        <w:t>主管</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对出租方租赁行为进行指导监督，督促出租方建立健全资产租赁管理制度，抓好制度落实。同时，出租方是租赁行为的责任主体，</w:t>
      </w:r>
      <w:r>
        <w:rPr>
          <w:rFonts w:hint="eastAsia" w:ascii="仿宋_GB2312" w:hAnsi="仿宋_GB2312" w:eastAsia="仿宋_GB2312" w:cs="仿宋_GB2312"/>
          <w:sz w:val="32"/>
          <w:szCs w:val="32"/>
          <w:lang w:val="en-US" w:eastAsia="zh-CN"/>
        </w:rPr>
        <w:t>行政事业单位区直主管部门</w:t>
      </w:r>
      <w:r>
        <w:rPr>
          <w:rFonts w:hint="eastAsia" w:ascii="仿宋_GB2312" w:hAnsi="仿宋_GB2312" w:eastAsia="仿宋_GB2312" w:cs="仿宋_GB2312"/>
          <w:sz w:val="32"/>
          <w:szCs w:val="32"/>
        </w:rPr>
        <w:t>或产业集团应加强对</w:t>
      </w:r>
      <w:r>
        <w:rPr>
          <w:rFonts w:hint="eastAsia" w:ascii="仿宋_GB2312" w:hAnsi="仿宋_GB2312" w:eastAsia="仿宋_GB2312" w:cs="仿宋_GB2312"/>
          <w:sz w:val="32"/>
          <w:szCs w:val="32"/>
          <w:lang w:val="en-US" w:eastAsia="zh-CN"/>
        </w:rPr>
        <w:t>下属</w:t>
      </w:r>
      <w:r>
        <w:rPr>
          <w:rFonts w:hint="eastAsia" w:ascii="仿宋_GB2312" w:hAnsi="仿宋_GB2312" w:eastAsia="仿宋_GB2312" w:cs="仿宋_GB2312"/>
          <w:sz w:val="32"/>
          <w:szCs w:val="32"/>
        </w:rPr>
        <w:t>单位资产的监管，规范资产的管理使用，应对</w:t>
      </w:r>
      <w:r>
        <w:rPr>
          <w:rFonts w:hint="eastAsia" w:ascii="仿宋_GB2312" w:hAnsi="仿宋_GB2312" w:eastAsia="仿宋_GB2312" w:cs="仿宋_GB2312"/>
          <w:sz w:val="32"/>
          <w:szCs w:val="32"/>
          <w:lang w:val="en-US" w:eastAsia="zh-CN"/>
        </w:rPr>
        <w:t>下属</w:t>
      </w:r>
      <w:r>
        <w:rPr>
          <w:rFonts w:hint="eastAsia" w:ascii="仿宋_GB2312" w:hAnsi="仿宋_GB2312" w:eastAsia="仿宋_GB2312" w:cs="仿宋_GB2312"/>
          <w:sz w:val="32"/>
          <w:szCs w:val="32"/>
        </w:rPr>
        <w:t>单位的制度建设和租赁合同执行情况进行监管及定期检查，及时发现并纠正存在的问题。</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出租方主要领导是出租方租赁行为的第一责任人。</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要建立健全资产清查盘点制度，对所占有、使用、代管的国有资产应当定期清查盘点(每年至少一次),做到家底清楚、账账相符、账实相符，防止国有资产流失。对资产管理(保管、保养)不善的，通过书面方式提出改进建议书，对出现严重破损问题(整体丢失、部分丢失、损坏)可按合同要求向承租方索赔。</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lang w:val="en-US" w:eastAsia="zh-CN"/>
        </w:rPr>
        <w:t>各行政事业单位、国有企业</w:t>
      </w:r>
      <w:r>
        <w:rPr>
          <w:rFonts w:hint="eastAsia" w:ascii="仿宋_GB2312" w:hAnsi="仿宋_GB2312" w:eastAsia="仿宋_GB2312" w:cs="仿宋_GB2312"/>
          <w:sz w:val="32"/>
          <w:szCs w:val="32"/>
        </w:rPr>
        <w:t>要全面梳理本单位占有和使用的不动产，做到全面上报，对于存在瞒报、漏报情况的单位，</w:t>
      </w:r>
      <w:r>
        <w:rPr>
          <w:rFonts w:hint="eastAsia" w:ascii="仿宋_GB2312" w:hAnsi="仿宋_GB2312" w:eastAsia="仿宋_GB2312" w:cs="仿宋_GB2312"/>
          <w:sz w:val="32"/>
          <w:szCs w:val="32"/>
          <w:lang w:val="en-US" w:eastAsia="zh-CN"/>
        </w:rPr>
        <w:t>造</w:t>
      </w:r>
      <w:r>
        <w:rPr>
          <w:rFonts w:hint="eastAsia" w:ascii="仿宋_GB2312" w:hAnsi="仿宋_GB2312" w:eastAsia="仿宋_GB2312" w:cs="仿宋_GB2312"/>
          <w:sz w:val="32"/>
          <w:szCs w:val="32"/>
        </w:rPr>
        <w:t>成国有资产流失的，按照相关规定严肃处理。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lang w:val="en-US" w:eastAsia="zh-CN"/>
        </w:rPr>
        <w:t>各行政事业单位、国有企业</w:t>
      </w:r>
      <w:r>
        <w:rPr>
          <w:rFonts w:hint="eastAsia" w:ascii="仿宋_GB2312" w:hAnsi="仿宋_GB2312" w:eastAsia="仿宋_GB2312" w:cs="仿宋_GB2312"/>
          <w:sz w:val="32"/>
          <w:szCs w:val="32"/>
        </w:rPr>
        <w:t>及其工作人员，要认真履行国有资产管理职责，依法维护国有资产的安全完整，行政事业单位及其工作人员违反本办法规定的，擅自占用、使用、处置国有资产的，按照有关法律法规处理。</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租赁过程中出现滥用职权、玩忽职守、违法违规行为，造成国有资产损失的，将依照有关法律法规追究相关人员责任，并责成其依法承担相应的赔偿责任；造成国有资产流失，情节严重涉嫌犯罪的，移送司法机关依法追究刑事责任。</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出租方不得通过化整为零、调整租赁资产账面值、连续短期出租等方式规避本细则规定的审批、进场交易等程序。</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四十六</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区国资中心应对“榕易租平台”加强监管，及时掌握区属国有资产租赁信息，保证公开、公平、公正招租。</w:t>
      </w:r>
    </w:p>
    <w:p>
      <w:pPr>
        <w:spacing w:line="560" w:lineRule="exact"/>
        <w:jc w:val="center"/>
        <w:rPr>
          <w:rFonts w:hint="eastAsia" w:ascii="黑体" w:hAnsi="黑体" w:eastAsia="黑体" w:cs="黑体"/>
          <w:b/>
          <w:bCs/>
          <w:sz w:val="32"/>
          <w:szCs w:val="32"/>
        </w:rPr>
      </w:pPr>
      <w:r>
        <w:rPr>
          <w:rFonts w:hint="eastAsia" w:ascii="黑体" w:hAnsi="黑体" w:eastAsia="黑体" w:cs="黑体"/>
          <w:b/>
          <w:bCs/>
          <w:sz w:val="32"/>
          <w:szCs w:val="32"/>
        </w:rPr>
        <w:t>第</w:t>
      </w:r>
      <w:r>
        <w:rPr>
          <w:rFonts w:hint="eastAsia" w:ascii="黑体" w:hAnsi="黑体" w:eastAsia="黑体" w:cs="黑体"/>
          <w:b/>
          <w:bCs/>
          <w:sz w:val="32"/>
          <w:szCs w:val="32"/>
          <w:lang w:val="en-US" w:eastAsia="zh-CN"/>
        </w:rPr>
        <w:t>九</w:t>
      </w:r>
      <w:r>
        <w:rPr>
          <w:rFonts w:hint="eastAsia" w:ascii="黑体" w:hAnsi="黑体" w:eastAsia="黑体" w:cs="黑体"/>
          <w:b/>
          <w:bCs/>
          <w:sz w:val="32"/>
          <w:szCs w:val="32"/>
        </w:rPr>
        <w:t>章 附则</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出租方名称、标识、商标、经营许可权等无形资产原则上不对外租赁。</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出租方涉及《福州市城乡建设委员会关于印发福州市商业性广告有偿设置实施细则（试行）的通知》(榕建灯管〔2018〕179号)规定的商业性户外广告可有偿设置按照榕建灯管〔2018〕179号文规定执行。</w:t>
      </w:r>
    </w:p>
    <w:p>
      <w:pPr>
        <w:spacing w:line="560" w:lineRule="exact"/>
        <w:ind w:firstLine="643"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行政事业单位</w:t>
      </w:r>
      <w:r>
        <w:rPr>
          <w:rFonts w:hint="eastAsia" w:ascii="仿宋_GB2312" w:hAnsi="仿宋_GB2312" w:eastAsia="仿宋_GB2312" w:cs="仿宋_GB2312"/>
          <w:sz w:val="32"/>
          <w:szCs w:val="32"/>
        </w:rPr>
        <w:t>直接管理的</w:t>
      </w:r>
      <w:r>
        <w:rPr>
          <w:rFonts w:hint="eastAsia" w:ascii="仿宋_GB2312" w:hAnsi="仿宋_GB2312" w:eastAsia="仿宋_GB2312" w:cs="仿宋_GB2312"/>
          <w:sz w:val="32"/>
          <w:szCs w:val="32"/>
          <w:lang w:val="en-US" w:eastAsia="zh-CN"/>
        </w:rPr>
        <w:t>国有企业</w:t>
      </w:r>
      <w:r>
        <w:rPr>
          <w:rFonts w:hint="eastAsia" w:ascii="仿宋_GB2312" w:hAnsi="仿宋_GB2312" w:eastAsia="仿宋_GB2312" w:cs="仿宋_GB2312"/>
          <w:sz w:val="32"/>
          <w:szCs w:val="32"/>
        </w:rPr>
        <w:t>可参照执行。</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本细则由区国资中心负责解释。出租方在执行本细则过程中遇到问题，应及时向区国资中心反馈。</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本细则</w:t>
      </w:r>
      <w:r>
        <w:rPr>
          <w:rFonts w:hint="eastAsia" w:ascii="仿宋_GB2312" w:hAnsi="仿宋_GB2312" w:eastAsia="仿宋_GB2312" w:cs="仿宋_GB2312"/>
          <w:sz w:val="32"/>
          <w:szCs w:val="32"/>
          <w:lang w:val="en-US" w:eastAsia="zh-CN"/>
        </w:rPr>
        <w:t>与其他文件冲突时，以本细则为主。</w:t>
      </w:r>
    </w:p>
    <w:p>
      <w:pPr>
        <w:spacing w:line="560" w:lineRule="exact"/>
        <w:ind w:firstLine="643" w:firstLineChars="200"/>
        <w:rPr>
          <w:rFonts w:hint="eastAsia" w:ascii="仿宋_GB2312" w:hAnsi="仿宋_GB2312" w:eastAsia="仿宋_GB2312" w:cs="仿宋_GB2312"/>
          <w:b/>
          <w:bCs/>
          <w:spacing w:val="34"/>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本细则自发布之日起施行，有效期五年。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Calibri">
    <w:panose1 w:val="020F0502020204030204"/>
    <w:charset w:val="00"/>
    <w:family w:val="decorative"/>
    <w:pitch w:val="default"/>
    <w:sig w:usb0="E00002FF" w:usb1="4000ACFF" w:usb2="00000001" w:usb3="00000000" w:csb0="2000019F" w:csb1="00000000"/>
  </w:font>
  <w:font w:name="方正书宋_GBK">
    <w:altName w:val="Arial Unicode MS"/>
    <w:panose1 w:val="02000000000000000000"/>
    <w:charset w:val="86"/>
    <w:family w:val="auto"/>
    <w:pitch w:val="default"/>
    <w:sig w:usb0="00000000" w:usb1="00000000" w:usb2="00082016" w:usb3="00000000" w:csb0="00040001" w:csb1="00000000"/>
  </w:font>
  <w:font w:name="仿宋">
    <w:panose1 w:val="02010609060101010101"/>
    <w:charset w:val="86"/>
    <w:family w:val="swiss"/>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方正仿宋_GBK">
    <w:altName w:val="Arial Unicode MS"/>
    <w:panose1 w:val="02000000000000000000"/>
    <w:charset w:val="86"/>
    <w:family w:val="auto"/>
    <w:pitch w:val="default"/>
    <w:sig w:usb0="00000000" w:usb1="00000000" w:usb2="00082016" w:usb3="00000000" w:csb0="00040001" w:csb1="00000000"/>
  </w:font>
  <w:font w:name="Helvetica Neue">
    <w:altName w:val="Corbel"/>
    <w:panose1 w:val="02000503000000020004"/>
    <w:charset w:val="00"/>
    <w:family w:val="auto"/>
    <w:pitch w:val="default"/>
    <w:sig w:usb0="00000000" w:usb1="00000000" w:usb2="00000010" w:usb3="00000000" w:csb0="00000000" w:csb1="00000000"/>
  </w:font>
  <w:font w:name="Kingsoft Sign">
    <w:altName w:val="Segoe Print"/>
    <w:panose1 w:val="05050102010706020507"/>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931621102">
    <w:nsid w:val="EA57C6EE"/>
    <w:multiLevelType w:val="singleLevel"/>
    <w:tmpl w:val="EA57C6EE"/>
    <w:lvl w:ilvl="0" w:tentative="1">
      <w:start w:val="1"/>
      <w:numFmt w:val="chineseCounting"/>
      <w:suff w:val="nothing"/>
      <w:lvlText w:val="（%1）"/>
      <w:lvlJc w:val="left"/>
      <w:rPr>
        <w:rFonts w:hint="eastAsia"/>
      </w:rPr>
    </w:lvl>
  </w:abstractNum>
  <w:num w:numId="1">
    <w:abstractNumId w:val="3931621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zODBjMmIxNTgwNDlkM2QxYjc5OTEzOTZkZDVkZGQifQ=="/>
  </w:docVars>
  <w:rsids>
    <w:rsidRoot w:val="92EEB2DC"/>
    <w:rsid w:val="00134F36"/>
    <w:rsid w:val="00491D88"/>
    <w:rsid w:val="00622D6F"/>
    <w:rsid w:val="00C35C0B"/>
    <w:rsid w:val="0588607B"/>
    <w:rsid w:val="0C692520"/>
    <w:rsid w:val="0E346C9F"/>
    <w:rsid w:val="166D1579"/>
    <w:rsid w:val="192A17B1"/>
    <w:rsid w:val="19466B54"/>
    <w:rsid w:val="1A4903DC"/>
    <w:rsid w:val="21216E1E"/>
    <w:rsid w:val="23EE1117"/>
    <w:rsid w:val="242D3D19"/>
    <w:rsid w:val="253E4BFC"/>
    <w:rsid w:val="2F3A7E10"/>
    <w:rsid w:val="328C7E14"/>
    <w:rsid w:val="396F3E14"/>
    <w:rsid w:val="3ACB3160"/>
    <w:rsid w:val="3BD3301D"/>
    <w:rsid w:val="3DAE59B4"/>
    <w:rsid w:val="402E313B"/>
    <w:rsid w:val="40CF3767"/>
    <w:rsid w:val="44F42753"/>
    <w:rsid w:val="45895589"/>
    <w:rsid w:val="45B41583"/>
    <w:rsid w:val="4F4F5FB7"/>
    <w:rsid w:val="513560B9"/>
    <w:rsid w:val="514F37D9"/>
    <w:rsid w:val="5569651D"/>
    <w:rsid w:val="55F72FD0"/>
    <w:rsid w:val="587F05CB"/>
    <w:rsid w:val="5CFA627E"/>
    <w:rsid w:val="5FAFF226"/>
    <w:rsid w:val="613D4BC6"/>
    <w:rsid w:val="61455D09"/>
    <w:rsid w:val="61A01BD0"/>
    <w:rsid w:val="62F66FC2"/>
    <w:rsid w:val="667B6566"/>
    <w:rsid w:val="6BA46E9F"/>
    <w:rsid w:val="6BFA14B8"/>
    <w:rsid w:val="6D302251"/>
    <w:rsid w:val="6E570BD7"/>
    <w:rsid w:val="6F5FCF1C"/>
    <w:rsid w:val="6FCF776E"/>
    <w:rsid w:val="75231E2B"/>
    <w:rsid w:val="75894BB2"/>
    <w:rsid w:val="7B177B9B"/>
    <w:rsid w:val="7C0B4A63"/>
    <w:rsid w:val="7DB03A1C"/>
    <w:rsid w:val="87FD22A9"/>
    <w:rsid w:val="92EEB2DC"/>
    <w:rsid w:val="B77B86A4"/>
    <w:rsid w:val="B815B088"/>
    <w:rsid w:val="DFEE5DDE"/>
    <w:rsid w:val="EF7C95E4"/>
    <w:rsid w:val="F0DC1533"/>
    <w:rsid w:val="FDD4FA39"/>
    <w:rsid w:val="FE6F658E"/>
    <w:rsid w:val="FFE78AC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4">
    <w:name w:val="annotation reference"/>
    <w:basedOn w:val="3"/>
    <w:qFormat/>
    <w:uiPriority w:val="0"/>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5595</Words>
  <Characters>5624</Characters>
  <Lines>159</Lines>
  <Paragraphs>102</Paragraphs>
  <TotalTime>0</TotalTime>
  <ScaleCrop>false</ScaleCrop>
  <LinksUpToDate>false</LinksUpToDate>
  <CharactersWithSpaces>5688</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2026-03-26T18:51:00Z</dcterms:created>
  <dc:creator>话说这是王杰</dc:creator>
  <cp:lastModifiedBy>国有资产服务中心/王杰</cp:lastModifiedBy>
  <cp:lastPrinted>2026-04-29T23:31:00Z</cp:lastPrinted>
  <dcterms:modified xsi:type="dcterms:W3CDTF">2026-07-02T07:25:56Z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C923C829812A77F16806316A4AD161AA_43</vt:lpwstr>
  </property>
  <property fmtid="{D5CDD505-2E9C-101B-9397-08002B2CF9AE}" pid="4" name="KSOTemplateDocerSaveRecord">
    <vt:lpwstr>eyJoZGlkIjoiYjJhMTIwN2YyNTJhNGZlNGEzNmRjN2MyM2IwNTY3ODkifQ==</vt:lpwstr>
  </property>
</Properties>
</file>